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2216" w14:textId="1941B5B0" w:rsidR="006F3C44" w:rsidRPr="00D340DE" w:rsidRDefault="00410608" w:rsidP="00D340DE">
      <w:pPr>
        <w:widowControl w:val="0"/>
        <w:jc w:val="center"/>
        <w:rPr>
          <w:b/>
          <w:bCs/>
        </w:rPr>
      </w:pPr>
      <w:r w:rsidRPr="00C356AE">
        <w:rPr>
          <w:b/>
          <w:bCs/>
        </w:rPr>
        <w:t>Local Labor Market Conditions and Career and Technical Education Teacher Turnover</w:t>
      </w:r>
    </w:p>
    <w:p w14:paraId="344677CE" w14:textId="2CABFFBA" w:rsidR="00336E16" w:rsidRPr="00D340DE" w:rsidRDefault="00336E16" w:rsidP="00D340DE">
      <w:pPr>
        <w:widowControl w:val="0"/>
        <w:ind w:firstLine="0"/>
        <w:jc w:val="center"/>
        <w:rPr>
          <w:i/>
        </w:rPr>
      </w:pPr>
      <w:r w:rsidRPr="00C356AE">
        <w:rPr>
          <w:b/>
          <w:bCs/>
        </w:rPr>
        <w:t>Purpose</w:t>
      </w:r>
    </w:p>
    <w:p w14:paraId="6559D38B" w14:textId="50F8E162" w:rsidR="00761FFE" w:rsidRPr="00761FFE" w:rsidRDefault="00761FFE" w:rsidP="00761FFE">
      <w:pPr>
        <w:widowControl w:val="0"/>
      </w:pPr>
      <w:r w:rsidRPr="00761FFE">
        <w:t>The purpose of this study is to examine the relationship between local labor market conditions and Career and Technical Education (CTE) teacher turnover, and to assess whether this relationship varies across CTE career cluster areas. As CTE has expanded as a strategy for preparing a STEM-capable workforce and narrowing economic opportunity gaps (</w:t>
      </w:r>
      <w:proofErr w:type="spellStart"/>
      <w:r w:rsidRPr="00761FFE">
        <w:t>Asunda</w:t>
      </w:r>
      <w:proofErr w:type="spellEnd"/>
      <w:r w:rsidRPr="00761FFE">
        <w:t xml:space="preserve">, 2012; Jacob &amp; Ricks, 2023), districts increasingly rely on CTE teachers to deliver instruction that integrates academic content with applied, industry-relevant skills. Nearly all school districts now offer some form of CTE programming (Gray &amp; Lewis, 2018), and evidence links CTE participation to improved student attendance, graduation rates, and postsecondary outcomes (Bonilla, 2020; Brunner et al., 2021; Dougherty, 2016; Dougherty, 2018; Hemelt et al., 2019; Plasman et al., 2017). </w:t>
      </w:r>
      <w:r w:rsidR="00694D41" w:rsidRPr="00C356AE">
        <w:t>Additionally, CTE has increasingly been used as a mechanism for integrating STEM content and skills into applied coursework. While CTE offerings span a wide range of occupational areas, STEM-oriented pathways have expanded within the CTE space, positioning CTE as an important vehicle for broadening access to applied STEM learning (</w:t>
      </w:r>
      <w:proofErr w:type="spellStart"/>
      <w:r w:rsidR="00031E62" w:rsidRPr="00C356AE">
        <w:t>Asunda</w:t>
      </w:r>
      <w:proofErr w:type="spellEnd"/>
      <w:r w:rsidR="00031E62" w:rsidRPr="00C356AE">
        <w:t>, 2014</w:t>
      </w:r>
      <w:r w:rsidR="00031E62" w:rsidRPr="00C356AE">
        <w:t xml:space="preserve">; </w:t>
      </w:r>
      <w:r w:rsidR="00694D41" w:rsidRPr="00C356AE">
        <w:t>Dougherty, 2020).</w:t>
      </w:r>
    </w:p>
    <w:p w14:paraId="42155676" w14:textId="224B7153" w:rsidR="00761FFE" w:rsidRPr="00761FFE" w:rsidRDefault="00761FFE" w:rsidP="00761FFE">
      <w:pPr>
        <w:widowControl w:val="0"/>
      </w:pPr>
      <w:r w:rsidRPr="00761FFE">
        <w:t>Despite the growing importance of CTE, recruiting and retaining qualified CTE teachers remains a persistent challenge (Devier, 2019). State CTE leaders consistently identify expanding access to industry experts in secondary education as a top priority (Advance CTE, 2016), and more than half of states report shortages in at least one CTE area (U.S. Department of Education, 2025). These shortages may be particularly acute in high-growth, high-wage, and STEM-related fields, where teachers’ industry-aligned skills are highly valued outside of education. This</w:t>
      </w:r>
      <w:r w:rsidR="00994C02">
        <w:t xml:space="preserve"> may</w:t>
      </w:r>
      <w:r w:rsidRPr="00761FFE">
        <w:t xml:space="preserve"> create a </w:t>
      </w:r>
      <w:r w:rsidR="00994C02">
        <w:t>problem where schools</w:t>
      </w:r>
      <w:r w:rsidRPr="00761FFE">
        <w:t xml:space="preserve"> struggle most to staff CTE programs in the very fields that offer the greatest economic returns for students.</w:t>
      </w:r>
    </w:p>
    <w:p w14:paraId="5972F6F1" w14:textId="13E8B0B0" w:rsidR="00336E16" w:rsidRPr="00D340DE" w:rsidRDefault="00761FFE" w:rsidP="00D340DE">
      <w:pPr>
        <w:widowControl w:val="0"/>
      </w:pPr>
      <w:r w:rsidRPr="00761FFE">
        <w:t>Building on prior research linking teacher mobility to local labor market conditions</w:t>
      </w:r>
      <w:r w:rsidR="00564521">
        <w:t xml:space="preserve">, </w:t>
      </w:r>
      <w:r w:rsidRPr="00761FFE">
        <w:t xml:space="preserve">this study investigates whether stronger local labor markets are associated with higher rates of CTE teacher turnover. </w:t>
      </w:r>
      <w:r w:rsidR="00EB4B53">
        <w:t>I</w:t>
      </w:r>
      <w:r w:rsidR="00EB4B53" w:rsidRPr="00EB4B53">
        <w:t>t</w:t>
      </w:r>
      <w:r w:rsidR="00EB4B53">
        <w:t xml:space="preserve"> </w:t>
      </w:r>
      <w:r w:rsidR="00EB4B53" w:rsidRPr="00EB4B53">
        <w:t>further examines heterogeneity across CTE career clusters to understand whether teachers in certain clusters are more responsive to local economic conditions than teachers in other fields.</w:t>
      </w:r>
      <w:r w:rsidR="00EB4B53">
        <w:t xml:space="preserve"> </w:t>
      </w:r>
      <w:r w:rsidRPr="00761FFE">
        <w:t xml:space="preserve">By clarifying how local labor markets shape CTE teacher retention, this study aims to inform policy discussions related to CTE staffing, workforce alignment, </w:t>
      </w:r>
      <w:r w:rsidR="00D41631" w:rsidRPr="00C356AE">
        <w:t>and the long-term stability of the CTE teaching workforce in high-demand sectors.</w:t>
      </w:r>
    </w:p>
    <w:p w14:paraId="2A786461" w14:textId="655325EB" w:rsidR="00336E16" w:rsidRPr="00C356AE" w:rsidRDefault="00336E16" w:rsidP="00B07FB6">
      <w:pPr>
        <w:widowControl w:val="0"/>
        <w:ind w:firstLine="0"/>
        <w:jc w:val="center"/>
      </w:pPr>
      <w:r w:rsidRPr="00C356AE">
        <w:rPr>
          <w:b/>
        </w:rPr>
        <w:t>Background and Context</w:t>
      </w:r>
    </w:p>
    <w:p w14:paraId="797E4B8B" w14:textId="77777777" w:rsidR="001A5575" w:rsidRPr="001A5575" w:rsidRDefault="001A5575" w:rsidP="001A5575">
      <w:pPr>
        <w:widowControl w:val="0"/>
      </w:pPr>
      <w:r w:rsidRPr="001A5575">
        <w:t>A substantial body of research documents the growing role of Career and Technical Education in improving educational and economic outcomes for students. Studies consistently show that CTE participation is associated with improved attendance, higher rates of high school completion, and increased postsecondary enrollment (Bonilla, 2020; Brunner et al., 2021; Dougherty, 2016; Dougherty, 2018; Hemelt et al., 2019; Plasman et al., 2017). More recently, scholars have emphasized the increasing alignment of CTE with STEM fields, noting that CTE serves as a mechanism for integrating STEM content into applied coursework and expanding access for students who may not participate in advanced academic STEM pathways (</w:t>
      </w:r>
      <w:proofErr w:type="spellStart"/>
      <w:r w:rsidRPr="001A5575">
        <w:t>Asunda</w:t>
      </w:r>
      <w:proofErr w:type="spellEnd"/>
      <w:r w:rsidRPr="001A5575">
        <w:t>, 2014; Dougherty, 2020).</w:t>
      </w:r>
    </w:p>
    <w:p w14:paraId="7D25186A" w14:textId="30584678" w:rsidR="001A5575" w:rsidRPr="001A5575" w:rsidRDefault="001A5575" w:rsidP="001A5575">
      <w:pPr>
        <w:widowControl w:val="0"/>
      </w:pPr>
      <w:r w:rsidRPr="001A5575">
        <w:t>Central to the effectiveness of these programs are CTE teachers, who combine pedagogical responsibilities with occupational</w:t>
      </w:r>
      <w:r w:rsidR="00550C9E">
        <w:t xml:space="preserve"> expertise</w:t>
      </w:r>
      <w:r w:rsidRPr="001A5575">
        <w:t xml:space="preserve">. </w:t>
      </w:r>
      <w:r w:rsidR="00700C5A" w:rsidRPr="00700C5A">
        <w:t>However, concerns persist regarding the recruitment and retention of CTE teachers (Devier, 2019).</w:t>
      </w:r>
      <w:r w:rsidR="00700C5A">
        <w:t xml:space="preserve"> </w:t>
      </w:r>
      <w:r w:rsidRPr="001A5575">
        <w:t>These challenges are distinct from shortages in traditional academic subjects, as CTE teachers’ skills are often directly transferable to non-</w:t>
      </w:r>
      <w:r w:rsidRPr="001A5575">
        <w:lastRenderedPageBreak/>
        <w:t>education employment, raising the opportunity cost of remaining in the classroom.</w:t>
      </w:r>
    </w:p>
    <w:p w14:paraId="4C62FA58" w14:textId="4E77D6C7" w:rsidR="001A5575" w:rsidRPr="001A5575" w:rsidRDefault="001A5575" w:rsidP="00FE7781">
      <w:pPr>
        <w:widowControl w:val="0"/>
      </w:pPr>
      <w:r w:rsidRPr="001A5575">
        <w:t xml:space="preserve">A well-established literature on teacher labor supply and turnover emphasizes the role of alternative employment opportunities and local economic conditions. Drawing on theories of occupational choice and turnover (Mobley et al., 1979; Carsten &amp; Spector, 1987), prior research shows that teachers are less likely to exit during periods of high unemployment and more likely to leave as labor markets tighten (Bacher-Hicks, 2022; Bleiberg &amp; Kraft, 2023; Goldhaber &amp; Theobald, 2022; </w:t>
      </w:r>
      <w:proofErr w:type="spellStart"/>
      <w:r w:rsidRPr="001A5575">
        <w:t>Harbatkin</w:t>
      </w:r>
      <w:proofErr w:type="spellEnd"/>
      <w:r w:rsidRPr="001A5575">
        <w:t xml:space="preserve"> et al., 2025). </w:t>
      </w:r>
      <w:r w:rsidR="00FE7781">
        <w:t xml:space="preserve">There is reason to believe that </w:t>
      </w:r>
      <w:r w:rsidR="00562108">
        <w:t>the</w:t>
      </w:r>
      <w:r w:rsidR="00FE7781">
        <w:t xml:space="preserve"> relationship</w:t>
      </w:r>
      <w:r w:rsidR="00562108">
        <w:t xml:space="preserve"> between teacher turnover and local labor market strength</w:t>
      </w:r>
      <w:r w:rsidR="00FE7781">
        <w:t xml:space="preserve"> may be particularly true for CTE teachers, as they are skilled both in education and teaching; however, </w:t>
      </w:r>
      <w:r w:rsidRPr="001A5575">
        <w:t>relatively little research focuses specifically on CTE teachers. Existing studies of CTE teacher turnover emphasize in-school factors such as administrative support, work engagement, and job satisfaction (</w:t>
      </w:r>
      <w:r w:rsidR="00CB4534" w:rsidRPr="001A5575">
        <w:t>Clark et al., 2014</w:t>
      </w:r>
      <w:r w:rsidR="00CB4534">
        <w:t xml:space="preserve">; </w:t>
      </w:r>
      <w:r w:rsidRPr="001A5575">
        <w:t xml:space="preserve">Morris, 2006; Park &amp; Johnson, 2019). While these factors are important, they may not fully capture the labor market dynamics faced by CTE teachers with industry-aligned skills. Recent evidence suggests that CTE teachers with occupational licenses and those in STEM-related fields exit teaching at higher rates and earn substantially more after leaving (Kistler et al., 2024). Similarly, </w:t>
      </w:r>
      <w:proofErr w:type="spellStart"/>
      <w:r w:rsidRPr="001A5575">
        <w:t>Harbatkin</w:t>
      </w:r>
      <w:proofErr w:type="spellEnd"/>
      <w:r w:rsidRPr="001A5575">
        <w:t xml:space="preserve"> et al. (2025) find that STEM teachers exhibit higher conversion from intent to leave to actual exit, consistent with stronger outside options.</w:t>
      </w:r>
    </w:p>
    <w:p w14:paraId="5247AF1B" w14:textId="64E322BC" w:rsidR="00336E16" w:rsidRPr="00C356AE" w:rsidRDefault="0091121D" w:rsidP="00D340DE">
      <w:r>
        <w:t>Figure 1 draws</w:t>
      </w:r>
      <w:r w:rsidR="001A5575" w:rsidRPr="001A5575">
        <w:t xml:space="preserve"> on the Roy model of occupational choice (Roy, 1951) to situate CTE teacher turnover within local labor markets</w:t>
      </w:r>
      <w:r w:rsidR="00FD5FD1">
        <w:t xml:space="preserve">. </w:t>
      </w:r>
      <w:r w:rsidR="00FD5FD1">
        <w:t xml:space="preserve">The three lines represent hypothetical pay from industry in a strong and weak economy, respectively, and in teaching, at different levels of skill. Importantly, the slope for teaching (orange line) is flat or nearly so because greater skills in industry do not translate into higher pay in the classroom. In industry, on the other hand, workers stand to earn higher wages when they are more skilled. The slope is steeper </w:t>
      </w:r>
      <w:r w:rsidR="00FD5FD1" w:rsidRPr="00331540">
        <w:t>in a strong economy</w:t>
      </w:r>
      <w:r w:rsidR="00FD5FD1">
        <w:t xml:space="preserve"> (magenta line)</w:t>
      </w:r>
      <w:r w:rsidR="00FD5FD1" w:rsidRPr="00331540">
        <w:t xml:space="preserve"> or a high-demand field (</w:t>
      </w:r>
      <w:r w:rsidR="00FD5FD1">
        <w:t>blue dashed line</w:t>
      </w:r>
      <w:r w:rsidR="00FD5FD1" w:rsidRPr="00331540">
        <w:t>) than a weak economy</w:t>
      </w:r>
      <w:r w:rsidR="00FD5FD1">
        <w:t xml:space="preserve"> (green line)</w:t>
      </w:r>
      <w:r w:rsidR="00FD5FD1" w:rsidRPr="00331540">
        <w:t xml:space="preserve"> or low-demand field (</w:t>
      </w:r>
      <w:r w:rsidR="00FD5FD1">
        <w:t>orange dashed</w:t>
      </w:r>
      <w:r w:rsidR="00FD5FD1" w:rsidRPr="00331540">
        <w:t xml:space="preserve"> line) because the returns to skills will be higher in a more competitive labor market. Thus, if the teacher’s skills align with a high-demand sector of the local economy, the availability of attractive outside opportunities makes exit from teaching more likely</w:t>
      </w:r>
      <w:r w:rsidR="00100F38">
        <w:t xml:space="preserve"> </w:t>
      </w:r>
      <w:r w:rsidR="00100F38" w:rsidRPr="00331540">
        <w:t>(</w:t>
      </w:r>
      <w:proofErr w:type="spellStart"/>
      <w:r w:rsidR="00100F38" w:rsidRPr="00331540">
        <w:t>Chingos</w:t>
      </w:r>
      <w:proofErr w:type="spellEnd"/>
      <w:r w:rsidR="00100F38" w:rsidRPr="00331540">
        <w:t xml:space="preserve"> and West, 2012; Nagler, 2020; </w:t>
      </w:r>
      <w:proofErr w:type="spellStart"/>
      <w:r w:rsidR="00100F38" w:rsidRPr="00331540">
        <w:t>Podgursky</w:t>
      </w:r>
      <w:proofErr w:type="spellEnd"/>
      <w:r w:rsidR="00100F38" w:rsidRPr="00331540">
        <w:t xml:space="preserve"> et al., 2004)</w:t>
      </w:r>
      <w:r w:rsidR="00100F38">
        <w:t>.</w:t>
      </w:r>
    </w:p>
    <w:p w14:paraId="52059025" w14:textId="62435983" w:rsidR="005A1ECA" w:rsidRPr="005A1ECA" w:rsidRDefault="00336E16" w:rsidP="00D340DE">
      <w:pPr>
        <w:widowControl w:val="0"/>
        <w:ind w:firstLine="0"/>
        <w:jc w:val="center"/>
        <w:rPr>
          <w:b/>
        </w:rPr>
      </w:pPr>
      <w:r w:rsidRPr="00C356AE">
        <w:rPr>
          <w:b/>
        </w:rPr>
        <w:t>Method</w:t>
      </w:r>
    </w:p>
    <w:p w14:paraId="3A77C05F" w14:textId="77777777" w:rsidR="005A1ECA" w:rsidRPr="005A1ECA" w:rsidRDefault="005A1ECA" w:rsidP="00C356AE">
      <w:pPr>
        <w:pStyle w:val="NoSpacing"/>
        <w:widowControl w:val="0"/>
        <w:ind w:firstLine="0"/>
        <w:rPr>
          <w:rFonts w:ascii="Times New Roman" w:hAnsi="Times New Roman" w:cs="Times New Roman"/>
          <w:bCs/>
          <w:sz w:val="24"/>
          <w:szCs w:val="24"/>
        </w:rPr>
      </w:pPr>
      <w:r w:rsidRPr="005A1ECA">
        <w:rPr>
          <w:rFonts w:ascii="Times New Roman" w:hAnsi="Times New Roman" w:cs="Times New Roman"/>
          <w:bCs/>
          <w:sz w:val="24"/>
          <w:szCs w:val="24"/>
        </w:rPr>
        <w:t>This study addresses two research questions:</w:t>
      </w:r>
    </w:p>
    <w:p w14:paraId="1F1BC9B1" w14:textId="77777777" w:rsidR="005A1ECA" w:rsidRPr="005A1ECA" w:rsidRDefault="005A1ECA" w:rsidP="005A1ECA">
      <w:pPr>
        <w:pStyle w:val="NoSpacing"/>
        <w:widowControl w:val="0"/>
        <w:numPr>
          <w:ilvl w:val="0"/>
          <w:numId w:val="1"/>
        </w:numPr>
        <w:rPr>
          <w:rFonts w:ascii="Times New Roman" w:hAnsi="Times New Roman" w:cs="Times New Roman"/>
          <w:bCs/>
          <w:sz w:val="24"/>
          <w:szCs w:val="24"/>
        </w:rPr>
      </w:pPr>
      <w:r w:rsidRPr="005A1ECA">
        <w:rPr>
          <w:rFonts w:ascii="Times New Roman" w:hAnsi="Times New Roman" w:cs="Times New Roman"/>
          <w:bCs/>
          <w:sz w:val="24"/>
          <w:szCs w:val="24"/>
        </w:rPr>
        <w:t>To what extent are local labor market conditions associated with CTE teacher turnover?</w:t>
      </w:r>
    </w:p>
    <w:p w14:paraId="0815423A" w14:textId="77777777" w:rsidR="005A1ECA" w:rsidRPr="005A1ECA" w:rsidRDefault="005A1ECA" w:rsidP="005A1ECA">
      <w:pPr>
        <w:pStyle w:val="NoSpacing"/>
        <w:widowControl w:val="0"/>
        <w:numPr>
          <w:ilvl w:val="0"/>
          <w:numId w:val="1"/>
        </w:numPr>
        <w:rPr>
          <w:rFonts w:ascii="Times New Roman" w:hAnsi="Times New Roman" w:cs="Times New Roman"/>
          <w:bCs/>
          <w:sz w:val="24"/>
          <w:szCs w:val="24"/>
        </w:rPr>
      </w:pPr>
      <w:r w:rsidRPr="005A1ECA">
        <w:rPr>
          <w:rFonts w:ascii="Times New Roman" w:hAnsi="Times New Roman" w:cs="Times New Roman"/>
          <w:bCs/>
          <w:sz w:val="24"/>
          <w:szCs w:val="24"/>
        </w:rPr>
        <w:t>To what extent does the relationship between local labor market conditions and CTE teacher turnover vary across CTE career cluster areas?</w:t>
      </w:r>
    </w:p>
    <w:p w14:paraId="67FBC917" w14:textId="74953696" w:rsidR="005A1ECA" w:rsidRPr="005A1ECA" w:rsidRDefault="005A1ECA" w:rsidP="00D340DE">
      <w:pPr>
        <w:pStyle w:val="NoSpacing"/>
        <w:widowControl w:val="0"/>
        <w:rPr>
          <w:rFonts w:ascii="Times New Roman" w:hAnsi="Times New Roman" w:cs="Times New Roman"/>
          <w:bCs/>
          <w:sz w:val="24"/>
          <w:szCs w:val="24"/>
        </w:rPr>
      </w:pPr>
      <w:r w:rsidRPr="005A1ECA">
        <w:rPr>
          <w:rFonts w:ascii="Times New Roman" w:hAnsi="Times New Roman" w:cs="Times New Roman"/>
          <w:bCs/>
          <w:sz w:val="24"/>
          <w:szCs w:val="24"/>
        </w:rPr>
        <w:t xml:space="preserve">Together, these questions are designed to assess whether economic conditions external to </w:t>
      </w:r>
      <w:proofErr w:type="gramStart"/>
      <w:r w:rsidRPr="005A1ECA">
        <w:rPr>
          <w:rFonts w:ascii="Times New Roman" w:hAnsi="Times New Roman" w:cs="Times New Roman"/>
          <w:bCs/>
          <w:sz w:val="24"/>
          <w:szCs w:val="24"/>
        </w:rPr>
        <w:t>schools</w:t>
      </w:r>
      <w:proofErr w:type="gramEnd"/>
      <w:r w:rsidRPr="005A1ECA">
        <w:rPr>
          <w:rFonts w:ascii="Times New Roman" w:hAnsi="Times New Roman" w:cs="Times New Roman"/>
          <w:bCs/>
          <w:sz w:val="24"/>
          <w:szCs w:val="24"/>
        </w:rPr>
        <w:t xml:space="preserve"> shape CTE teacher retention decisions and whether these effects are stronger in high-demand, STEM-aligned career pathways where outside employment options are likely more attractive.</w:t>
      </w:r>
    </w:p>
    <w:p w14:paraId="415E56D0" w14:textId="77777777" w:rsidR="005A1ECA" w:rsidRPr="005A1ECA" w:rsidRDefault="005A1ECA" w:rsidP="00C356AE">
      <w:pPr>
        <w:pStyle w:val="NoSpacing"/>
        <w:widowControl w:val="0"/>
        <w:ind w:firstLine="0"/>
        <w:rPr>
          <w:rFonts w:ascii="Times New Roman" w:hAnsi="Times New Roman" w:cs="Times New Roman"/>
          <w:b/>
          <w:bCs/>
          <w:sz w:val="24"/>
          <w:szCs w:val="24"/>
        </w:rPr>
      </w:pPr>
      <w:r w:rsidRPr="005A1ECA">
        <w:rPr>
          <w:rFonts w:ascii="Times New Roman" w:hAnsi="Times New Roman" w:cs="Times New Roman"/>
          <w:b/>
          <w:bCs/>
          <w:sz w:val="24"/>
          <w:szCs w:val="24"/>
        </w:rPr>
        <w:t>Study Design and Data</w:t>
      </w:r>
    </w:p>
    <w:p w14:paraId="5B355323" w14:textId="3EF05C6F" w:rsidR="005A1ECA" w:rsidRPr="005A1ECA" w:rsidRDefault="005A1ECA" w:rsidP="005A1ECA">
      <w:pPr>
        <w:pStyle w:val="NoSpacing"/>
        <w:widowControl w:val="0"/>
        <w:rPr>
          <w:rFonts w:ascii="Times New Roman" w:hAnsi="Times New Roman" w:cs="Times New Roman"/>
          <w:bCs/>
          <w:sz w:val="24"/>
          <w:szCs w:val="24"/>
        </w:rPr>
      </w:pPr>
      <w:r w:rsidRPr="005A1ECA">
        <w:rPr>
          <w:rFonts w:ascii="Times New Roman" w:hAnsi="Times New Roman" w:cs="Times New Roman"/>
          <w:bCs/>
          <w:sz w:val="24"/>
          <w:szCs w:val="24"/>
        </w:rPr>
        <w:t xml:space="preserve">This study employs a quantitative, longitudinal research design using statewide administrative data from Florida </w:t>
      </w:r>
      <w:r w:rsidR="00DA4AC2">
        <w:rPr>
          <w:rFonts w:ascii="Times New Roman" w:hAnsi="Times New Roman" w:cs="Times New Roman"/>
          <w:bCs/>
          <w:sz w:val="24"/>
          <w:szCs w:val="24"/>
        </w:rPr>
        <w:t xml:space="preserve">Department of Education </w:t>
      </w:r>
      <w:r w:rsidRPr="005A1ECA">
        <w:rPr>
          <w:rFonts w:ascii="Times New Roman" w:hAnsi="Times New Roman" w:cs="Times New Roman"/>
          <w:bCs/>
          <w:sz w:val="24"/>
          <w:szCs w:val="24"/>
        </w:rPr>
        <w:t>spanning the 2018–2019 through 2022–2023 school years. The analytic dataset includes all teachers who taught at least one CTE course during this period and focuses on teachers identified as “primary CTE” based on job codes (N = 7,461 unique teachers). The teacher-level administrative records include detailed information on certification type, salary, years of teaching experience, demographic characteristics, course assignments, and district separation dates and reasons.</w:t>
      </w:r>
    </w:p>
    <w:p w14:paraId="080560CA" w14:textId="19E76FE6" w:rsidR="005A1ECA" w:rsidRPr="005A1ECA" w:rsidRDefault="005A1ECA" w:rsidP="00822055">
      <w:pPr>
        <w:pStyle w:val="NoSpacing"/>
        <w:widowControl w:val="0"/>
        <w:rPr>
          <w:rFonts w:ascii="Times New Roman" w:hAnsi="Times New Roman" w:cs="Times New Roman"/>
          <w:bCs/>
          <w:sz w:val="24"/>
          <w:szCs w:val="24"/>
        </w:rPr>
      </w:pPr>
      <w:r w:rsidRPr="005A1ECA">
        <w:rPr>
          <w:rFonts w:ascii="Times New Roman" w:hAnsi="Times New Roman" w:cs="Times New Roman"/>
          <w:bCs/>
          <w:sz w:val="24"/>
          <w:szCs w:val="24"/>
        </w:rPr>
        <w:t xml:space="preserve">To capture local labor market conditions, the teacher-by-year data are merged with publicly </w:t>
      </w:r>
      <w:r w:rsidRPr="005A1ECA">
        <w:rPr>
          <w:rFonts w:ascii="Times New Roman" w:hAnsi="Times New Roman" w:cs="Times New Roman"/>
          <w:bCs/>
          <w:sz w:val="24"/>
          <w:szCs w:val="24"/>
        </w:rPr>
        <w:lastRenderedPageBreak/>
        <w:t>available county-level economic indicators from three sources: (1) gross domestic product (GDP) data from the U.S. Department of Commerce’s Bureau of Economic Analysis, (2) unemployment rates from the Bureau of Labor Statistics, and (3) Quarterly Workforce Indicators (QWI) from the U.S. Census Bureau, which provide industry-specific measures of job creation, hiring, and earnings. QWI and GDP data allow the analysis to capture variation in economic conditions across industries that align with CTE career clusters. Teachers are matched to labor market indicators using their employing county. Because Florida school districts are county-based, district and county boundaries align, minimizing geographic mismatch between labor market measures and teachers’ workplaces.</w:t>
      </w:r>
    </w:p>
    <w:p w14:paraId="515ECF31" w14:textId="77777777" w:rsidR="005A1ECA" w:rsidRPr="005A1ECA" w:rsidRDefault="005A1ECA" w:rsidP="00B07FB6">
      <w:pPr>
        <w:pStyle w:val="NoSpacing"/>
        <w:widowControl w:val="0"/>
        <w:ind w:firstLine="0"/>
        <w:rPr>
          <w:rFonts w:ascii="Times New Roman" w:hAnsi="Times New Roman" w:cs="Times New Roman"/>
          <w:b/>
          <w:bCs/>
          <w:sz w:val="24"/>
          <w:szCs w:val="24"/>
        </w:rPr>
      </w:pPr>
      <w:r w:rsidRPr="005A1ECA">
        <w:rPr>
          <w:rFonts w:ascii="Times New Roman" w:hAnsi="Times New Roman" w:cs="Times New Roman"/>
          <w:b/>
          <w:bCs/>
          <w:sz w:val="24"/>
          <w:szCs w:val="24"/>
        </w:rPr>
        <w:t>Measures</w:t>
      </w:r>
    </w:p>
    <w:p w14:paraId="3D3F7247" w14:textId="1400E0C6" w:rsidR="005A1ECA" w:rsidRPr="005A1ECA" w:rsidRDefault="005A1ECA" w:rsidP="00C73CCF">
      <w:r w:rsidRPr="005A1ECA">
        <w:rPr>
          <w:rFonts w:eastAsiaTheme="minorHAnsi"/>
          <w:bCs/>
        </w:rPr>
        <w:t xml:space="preserve">The primary outcomes are two measures of CTE teacher turnover: (1) exiting the school district and (2) exiting the teaching profession altogether. A teacher is coded as exiting the district if a separation date appears in the administrative record at the end of a given school year. </w:t>
      </w:r>
      <w:proofErr w:type="gramStart"/>
      <w:r w:rsidRPr="005A1ECA">
        <w:rPr>
          <w:rFonts w:eastAsiaTheme="minorHAnsi"/>
          <w:bCs/>
        </w:rPr>
        <w:t>Exiting</w:t>
      </w:r>
      <w:proofErr w:type="gramEnd"/>
      <w:r w:rsidRPr="005A1ECA">
        <w:rPr>
          <w:rFonts w:eastAsiaTheme="minorHAnsi"/>
          <w:bCs/>
        </w:rPr>
        <w:t xml:space="preserve"> the teaching profession is defined using separation reason codes indicating departure from education (e.g., resigning for work outside education, retirement, contract expiration, or job abandonment). </w:t>
      </w:r>
      <w:r w:rsidR="00FC6469" w:rsidRPr="00331540">
        <w:t xml:space="preserve">Figure </w:t>
      </w:r>
      <w:r w:rsidR="00FF1974">
        <w:t>2</w:t>
      </w:r>
      <w:r w:rsidR="00FC6469" w:rsidRPr="00331540">
        <w:t xml:space="preserve"> shows both series peaking in 2021–22 (district exit 8.7% and leaving teaching 7.1%) and declining in 2022–23 to 7.5% and 6.3%, respectively.</w:t>
      </w:r>
      <w:r w:rsidR="00C73CCF">
        <w:t xml:space="preserve"> </w:t>
      </w:r>
    </w:p>
    <w:p w14:paraId="6A52EDBD" w14:textId="59DEB9EA" w:rsidR="005A1ECA" w:rsidRPr="005A1ECA" w:rsidRDefault="005A1ECA" w:rsidP="00D340DE">
      <w:pPr>
        <w:pStyle w:val="NoSpacing"/>
        <w:widowControl w:val="0"/>
        <w:rPr>
          <w:rFonts w:ascii="Times New Roman" w:hAnsi="Times New Roman" w:cs="Times New Roman"/>
          <w:bCs/>
          <w:sz w:val="24"/>
          <w:szCs w:val="24"/>
        </w:rPr>
      </w:pPr>
      <w:r w:rsidRPr="005A1ECA">
        <w:rPr>
          <w:rFonts w:ascii="Times New Roman" w:hAnsi="Times New Roman" w:cs="Times New Roman"/>
          <w:bCs/>
          <w:sz w:val="24"/>
          <w:szCs w:val="24"/>
        </w:rPr>
        <w:t xml:space="preserve">The key independent variables are measures of local labor market conditions, including county-level unemployment rates, overall county GDP growth, and industry-specific labor market indicators drawn from QWI and GDP data. </w:t>
      </w:r>
      <w:r w:rsidR="004420EF" w:rsidRPr="004420EF">
        <w:rPr>
          <w:rFonts w:ascii="Times New Roman" w:hAnsi="Times New Roman" w:cs="Times New Roman"/>
          <w:bCs/>
          <w:sz w:val="24"/>
          <w:szCs w:val="24"/>
        </w:rPr>
        <w:t>Table 1 presents descriptive statistics for the local labor market indicators used in the analysis, reported separately for teachers who remain in their district, those who exit the district, and those who leave teaching altogether.</w:t>
      </w:r>
    </w:p>
    <w:p w14:paraId="0A7757B6" w14:textId="77777777" w:rsidR="005A1ECA" w:rsidRPr="005A1ECA" w:rsidRDefault="005A1ECA" w:rsidP="00B07FB6">
      <w:pPr>
        <w:pStyle w:val="NoSpacing"/>
        <w:widowControl w:val="0"/>
        <w:ind w:firstLine="0"/>
        <w:rPr>
          <w:rFonts w:ascii="Times New Roman" w:hAnsi="Times New Roman" w:cs="Times New Roman"/>
          <w:b/>
          <w:bCs/>
          <w:sz w:val="24"/>
          <w:szCs w:val="24"/>
        </w:rPr>
      </w:pPr>
      <w:r w:rsidRPr="005A1ECA">
        <w:rPr>
          <w:rFonts w:ascii="Times New Roman" w:hAnsi="Times New Roman" w:cs="Times New Roman"/>
          <w:b/>
          <w:bCs/>
          <w:sz w:val="24"/>
          <w:szCs w:val="24"/>
        </w:rPr>
        <w:t>Empirical Strategy</w:t>
      </w:r>
    </w:p>
    <w:p w14:paraId="1F6C91BF" w14:textId="77777777" w:rsidR="005A1ECA" w:rsidRPr="005A1ECA" w:rsidRDefault="005A1ECA" w:rsidP="005A1ECA">
      <w:pPr>
        <w:pStyle w:val="NoSpacing"/>
        <w:widowControl w:val="0"/>
        <w:rPr>
          <w:rFonts w:ascii="Times New Roman" w:hAnsi="Times New Roman" w:cs="Times New Roman"/>
          <w:bCs/>
          <w:sz w:val="24"/>
          <w:szCs w:val="24"/>
        </w:rPr>
      </w:pPr>
      <w:r w:rsidRPr="005A1ECA">
        <w:rPr>
          <w:rFonts w:ascii="Times New Roman" w:hAnsi="Times New Roman" w:cs="Times New Roman"/>
          <w:bCs/>
          <w:sz w:val="24"/>
          <w:szCs w:val="24"/>
        </w:rPr>
        <w:t>To address Research Question 1, the study estimates the following linear probability model:</w:t>
      </w:r>
    </w:p>
    <w:p w14:paraId="232021CF" w14:textId="4F47799D" w:rsidR="005A1ECA" w:rsidRPr="005A1ECA" w:rsidRDefault="005A1ECA" w:rsidP="005A1ECA">
      <w:pPr>
        <w:pStyle w:val="NoSpacing"/>
        <w:widowControl w:val="0"/>
        <w:rPr>
          <w:rFonts w:ascii="Times New Roman" w:hAnsi="Times New Roman" w:cs="Times New Roman"/>
          <w:bCs/>
          <w:sz w:val="24"/>
          <w:szCs w:val="24"/>
        </w:rPr>
      </w:pPr>
      <m:oMathPara>
        <m:oMath>
          <m:sSub>
            <m:sSubPr>
              <m:ctrlPr>
                <w:rPr>
                  <w:rFonts w:ascii="Cambria Math" w:hAnsi="Cambria Math" w:cs="Times New Roman"/>
                  <w:bCs/>
                  <w:sz w:val="24"/>
                  <w:szCs w:val="24"/>
                </w:rPr>
              </m:ctrlPr>
            </m:sSubPr>
            <m:e>
              <m:r>
                <m:rPr>
                  <m:nor/>
                </m:rPr>
                <w:rPr>
                  <w:rFonts w:ascii="Times New Roman" w:hAnsi="Times New Roman" w:cs="Times New Roman"/>
                  <w:bCs/>
                  <w:sz w:val="24"/>
                  <w:szCs w:val="24"/>
                </w:rPr>
                <m:t>Turnover</m:t>
              </m:r>
            </m:e>
            <m:sub>
              <m:r>
                <w:rPr>
                  <w:rFonts w:ascii="Cambria Math" w:hAnsi="Cambria Math" w:cs="Times New Roman"/>
                  <w:sz w:val="24"/>
                  <w:szCs w:val="24"/>
                </w:rPr>
                <m:t>isct</m:t>
              </m:r>
            </m:sub>
          </m:sSub>
          <m:r>
            <w:rPr>
              <w:rFonts w:ascii="Cambria Math" w:hAnsi="Cambria Math" w:cs="Times New Roman"/>
              <w:sz w:val="24"/>
              <w:szCs w:val="24"/>
            </w:rPr>
            <m:t>=</m:t>
          </m:r>
          <m:sSub>
            <m:sSubPr>
              <m:ctrlPr>
                <w:rPr>
                  <w:rFonts w:ascii="Cambria Math" w:hAnsi="Cambria Math" w:cs="Times New Roman"/>
                  <w:bCs/>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bCs/>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bCs/>
                  <w:sz w:val="24"/>
                  <w:szCs w:val="24"/>
                </w:rPr>
              </m:ctrlPr>
            </m:sSubPr>
            <m:e>
              <m:r>
                <m:rPr>
                  <m:nor/>
                </m:rPr>
                <w:rPr>
                  <w:rFonts w:ascii="Times New Roman" w:hAnsi="Times New Roman" w:cs="Times New Roman"/>
                  <w:bCs/>
                  <w:sz w:val="24"/>
                  <w:szCs w:val="24"/>
                </w:rPr>
                <m:t>LaborMarketCondition</m:t>
              </m:r>
            </m:e>
            <m:sub>
              <m:r>
                <w:rPr>
                  <w:rFonts w:ascii="Cambria Math" w:hAnsi="Cambria Math" w:cs="Times New Roman"/>
                  <w:sz w:val="24"/>
                  <w:szCs w:val="24"/>
                </w:rPr>
                <m:t>ct</m:t>
              </m:r>
            </m:sub>
          </m:sSub>
          <m:r>
            <w:rPr>
              <w:rFonts w:ascii="Cambria Math" w:hAnsi="Cambria Math" w:cs="Times New Roman"/>
              <w:sz w:val="24"/>
              <w:szCs w:val="24"/>
            </w:rPr>
            <m:t>+α</m:t>
          </m:r>
          <m:sSubSup>
            <m:sSubSupPr>
              <m:ctrlPr>
                <w:rPr>
                  <w:rFonts w:ascii="Cambria Math" w:hAnsi="Cambria Math" w:cs="Times New Roman"/>
                  <w:bCs/>
                  <w:sz w:val="24"/>
                  <w:szCs w:val="24"/>
                </w:rPr>
              </m:ctrlPr>
            </m:sSubSupPr>
            <m:e>
              <m:r>
                <m:rPr>
                  <m:sty m:val="bi"/>
                </m:rPr>
                <w:rPr>
                  <w:rFonts w:ascii="Cambria Math" w:hAnsi="Cambria Math" w:cs="Times New Roman"/>
                  <w:sz w:val="24"/>
                  <w:szCs w:val="24"/>
                </w:rPr>
                <m:t>X</m:t>
              </m:r>
            </m:e>
            <m:sub>
              <m:r>
                <w:rPr>
                  <w:rFonts w:ascii="Cambria Math" w:hAnsi="Cambria Math" w:cs="Times New Roman"/>
                  <w:sz w:val="24"/>
                  <w:szCs w:val="24"/>
                </w:rPr>
                <m:t>it</m:t>
              </m:r>
            </m:sub>
            <m:sup>
              <m:r>
                <m:rPr>
                  <m:sty m:val="p"/>
                </m:rPr>
                <w:rPr>
                  <w:rFonts w:ascii="Cambria Math" w:hAnsi="Cambria Math" w:cs="Times New Roman"/>
                  <w:sz w:val="24"/>
                  <w:szCs w:val="24"/>
                </w:rPr>
                <m:t>'</m:t>
              </m:r>
            </m:sup>
          </m:sSubSup>
          <m:r>
            <w:rPr>
              <w:rFonts w:ascii="Cambria Math" w:hAnsi="Cambria Math" w:cs="Times New Roman"/>
              <w:sz w:val="24"/>
              <w:szCs w:val="24"/>
            </w:rPr>
            <m:t>+λ</m:t>
          </m:r>
          <m:sSubSup>
            <m:sSubSupPr>
              <m:ctrlPr>
                <w:rPr>
                  <w:rFonts w:ascii="Cambria Math" w:hAnsi="Cambria Math" w:cs="Times New Roman"/>
                  <w:bCs/>
                  <w:sz w:val="24"/>
                  <w:szCs w:val="24"/>
                </w:rPr>
              </m:ctrlPr>
            </m:sSubSupPr>
            <m:e>
              <m:r>
                <m:rPr>
                  <m:sty m:val="bi"/>
                </m:rPr>
                <w:rPr>
                  <w:rFonts w:ascii="Cambria Math" w:hAnsi="Cambria Math" w:cs="Times New Roman"/>
                  <w:sz w:val="24"/>
                  <w:szCs w:val="24"/>
                </w:rPr>
                <m:t>Y</m:t>
              </m:r>
            </m:e>
            <m:sub>
              <m:r>
                <w:rPr>
                  <w:rFonts w:ascii="Cambria Math" w:hAnsi="Cambria Math" w:cs="Times New Roman"/>
                  <w:sz w:val="24"/>
                  <w:szCs w:val="24"/>
                </w:rPr>
                <m:t>st</m:t>
              </m:r>
            </m:sub>
            <m:sup>
              <m:r>
                <m:rPr>
                  <m:sty m:val="p"/>
                </m:rPr>
                <w:rPr>
                  <w:rFonts w:ascii="Cambria Math" w:hAnsi="Cambria Math" w:cs="Times New Roman"/>
                  <w:sz w:val="24"/>
                  <w:szCs w:val="24"/>
                </w:rPr>
                <m:t>'</m:t>
              </m:r>
            </m:sup>
          </m:sSubSup>
          <m:r>
            <w:rPr>
              <w:rFonts w:ascii="Cambria Math" w:hAnsi="Cambria Math" w:cs="Times New Roman"/>
              <w:sz w:val="24"/>
              <w:szCs w:val="24"/>
            </w:rPr>
            <m:t>+ζ</m:t>
          </m:r>
          <m:sSubSup>
            <m:sSubSupPr>
              <m:ctrlPr>
                <w:rPr>
                  <w:rFonts w:ascii="Cambria Math" w:hAnsi="Cambria Math" w:cs="Times New Roman"/>
                  <w:bCs/>
                  <w:sz w:val="24"/>
                  <w:szCs w:val="24"/>
                </w:rPr>
              </m:ctrlPr>
            </m:sSubSupPr>
            <m:e>
              <m:r>
                <m:rPr>
                  <m:sty m:val="bi"/>
                </m:rPr>
                <w:rPr>
                  <w:rFonts w:ascii="Cambria Math" w:hAnsi="Cambria Math" w:cs="Times New Roman"/>
                  <w:sz w:val="24"/>
                  <w:szCs w:val="24"/>
                </w:rPr>
                <m:t>Z</m:t>
              </m:r>
            </m:e>
            <m:sub>
              <m:r>
                <w:rPr>
                  <w:rFonts w:ascii="Cambria Math" w:hAnsi="Cambria Math" w:cs="Times New Roman"/>
                  <w:sz w:val="24"/>
                  <w:szCs w:val="24"/>
                </w:rPr>
                <m:t>ct</m:t>
              </m:r>
            </m:sub>
            <m:sup>
              <m:r>
                <m:rPr>
                  <m:sty m:val="p"/>
                </m:rP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bCs/>
                  <w:sz w:val="24"/>
                  <w:szCs w:val="24"/>
                </w:rPr>
              </m:ctrlPr>
            </m:sSubPr>
            <m:e>
              <m:r>
                <w:rPr>
                  <w:rFonts w:ascii="Cambria Math" w:hAnsi="Cambria Math" w:cs="Times New Roman"/>
                  <w:sz w:val="24"/>
                  <w:szCs w:val="24"/>
                </w:rPr>
                <m:t>π</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bCs/>
                  <w:sz w:val="24"/>
                  <w:szCs w:val="24"/>
                </w:rPr>
              </m:ctrlPr>
            </m:sSubPr>
            <m:e>
              <m:r>
                <w:rPr>
                  <w:rFonts w:ascii="Cambria Math" w:hAnsi="Cambria Math" w:cs="Times New Roman"/>
                  <w:sz w:val="24"/>
                  <w:szCs w:val="24"/>
                </w:rPr>
                <m:t>κ</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bCs/>
                  <w:sz w:val="24"/>
                  <w:szCs w:val="24"/>
                </w:rPr>
              </m:ctrlPr>
            </m:sSubPr>
            <m:e>
              <m:r>
                <w:rPr>
                  <w:rFonts w:ascii="Cambria Math" w:hAnsi="Cambria Math" w:cs="Times New Roman"/>
                  <w:sz w:val="24"/>
                  <w:szCs w:val="24"/>
                </w:rPr>
                <m:t>ε</m:t>
              </m:r>
            </m:e>
            <m:sub>
              <m:r>
                <w:rPr>
                  <w:rFonts w:ascii="Cambria Math" w:hAnsi="Cambria Math" w:cs="Times New Roman"/>
                  <w:sz w:val="24"/>
                  <w:szCs w:val="24"/>
                </w:rPr>
                <m:t>isct</m:t>
              </m:r>
            </m:sub>
          </m:sSub>
          <m:r>
            <w:rPr>
              <w:rFonts w:ascii="Times New Roman" w:hAnsi="Times New Roman" w:cs="Times New Roman"/>
              <w:bCs/>
              <w:sz w:val="24"/>
              <w:szCs w:val="24"/>
            </w:rPr>
            <w:br/>
          </m:r>
        </m:oMath>
      </m:oMathPara>
    </w:p>
    <w:p w14:paraId="22BDB860" w14:textId="6C0CCA7D" w:rsidR="005A1ECA" w:rsidRPr="005A1ECA" w:rsidRDefault="005A1ECA" w:rsidP="005A1ECA">
      <w:pPr>
        <w:pStyle w:val="NoSpacing"/>
        <w:widowControl w:val="0"/>
        <w:rPr>
          <w:rFonts w:ascii="Times New Roman" w:hAnsi="Times New Roman" w:cs="Times New Roman"/>
          <w:bCs/>
          <w:sz w:val="24"/>
          <w:szCs w:val="24"/>
        </w:rPr>
      </w:pPr>
      <w:r w:rsidRPr="005A1ECA">
        <w:rPr>
          <w:rFonts w:ascii="Times New Roman" w:hAnsi="Times New Roman" w:cs="Times New Roman"/>
          <w:bCs/>
          <w:sz w:val="24"/>
          <w:szCs w:val="24"/>
        </w:rPr>
        <w:t xml:space="preserve">where </w:t>
      </w:r>
      <m:oMath>
        <m:sSub>
          <m:sSubPr>
            <m:ctrlPr>
              <w:rPr>
                <w:rFonts w:ascii="Cambria Math" w:hAnsi="Cambria Math" w:cs="Times New Roman"/>
                <w:bCs/>
                <w:sz w:val="24"/>
                <w:szCs w:val="24"/>
              </w:rPr>
            </m:ctrlPr>
          </m:sSubPr>
          <m:e>
            <m:r>
              <m:rPr>
                <m:nor/>
              </m:rPr>
              <w:rPr>
                <w:rFonts w:ascii="Times New Roman" w:hAnsi="Times New Roman" w:cs="Times New Roman"/>
                <w:bCs/>
                <w:sz w:val="24"/>
                <w:szCs w:val="24"/>
              </w:rPr>
              <m:t>Turnover</m:t>
            </m:r>
          </m:e>
          <m:sub>
            <m:r>
              <w:rPr>
                <w:rFonts w:ascii="Cambria Math" w:hAnsi="Cambria Math" w:cs="Times New Roman"/>
                <w:sz w:val="24"/>
                <w:szCs w:val="24"/>
              </w:rPr>
              <m:t>isct</m:t>
            </m:r>
          </m:sub>
        </m:sSub>
      </m:oMath>
      <w:r w:rsidRPr="005A1ECA">
        <w:rPr>
          <w:rFonts w:ascii="Times New Roman" w:hAnsi="Times New Roman" w:cs="Times New Roman"/>
          <w:bCs/>
          <w:sz w:val="24"/>
          <w:szCs w:val="24"/>
        </w:rPr>
        <w:t xml:space="preserve">is an indicator equal to one if teacher </w:t>
      </w:r>
      <m:oMath>
        <m:r>
          <w:rPr>
            <w:rFonts w:ascii="Cambria Math" w:hAnsi="Cambria Math" w:cs="Times New Roman"/>
            <w:sz w:val="24"/>
            <w:szCs w:val="24"/>
          </w:rPr>
          <m:t>i</m:t>
        </m:r>
      </m:oMath>
      <w:r w:rsidRPr="005A1ECA">
        <w:rPr>
          <w:rFonts w:ascii="Times New Roman" w:hAnsi="Times New Roman" w:cs="Times New Roman"/>
          <w:bCs/>
          <w:sz w:val="24"/>
          <w:szCs w:val="24"/>
        </w:rPr>
        <w:t xml:space="preserve">, in school </w:t>
      </w:r>
      <m:oMath>
        <m:r>
          <w:rPr>
            <w:rFonts w:ascii="Cambria Math" w:hAnsi="Cambria Math" w:cs="Times New Roman"/>
            <w:sz w:val="24"/>
            <w:szCs w:val="24"/>
          </w:rPr>
          <m:t>s</m:t>
        </m:r>
      </m:oMath>
      <w:r w:rsidRPr="005A1ECA">
        <w:rPr>
          <w:rFonts w:ascii="Times New Roman" w:hAnsi="Times New Roman" w:cs="Times New Roman"/>
          <w:bCs/>
          <w:sz w:val="24"/>
          <w:szCs w:val="24"/>
        </w:rPr>
        <w:t xml:space="preserve">, located in county </w:t>
      </w:r>
      <m:oMath>
        <m:r>
          <w:rPr>
            <w:rFonts w:ascii="Cambria Math" w:hAnsi="Cambria Math" w:cs="Times New Roman"/>
            <w:sz w:val="24"/>
            <w:szCs w:val="24"/>
          </w:rPr>
          <m:t>c</m:t>
        </m:r>
      </m:oMath>
      <w:r w:rsidRPr="005A1ECA">
        <w:rPr>
          <w:rFonts w:ascii="Times New Roman" w:hAnsi="Times New Roman" w:cs="Times New Roman"/>
          <w:bCs/>
          <w:sz w:val="24"/>
          <w:szCs w:val="24"/>
        </w:rPr>
        <w:t xml:space="preserve">, exits the district or the teaching profession by the end of school year </w:t>
      </w:r>
      <m:oMath>
        <m:r>
          <w:rPr>
            <w:rFonts w:ascii="Cambria Math" w:hAnsi="Cambria Math" w:cs="Times New Roman"/>
            <w:sz w:val="24"/>
            <w:szCs w:val="24"/>
          </w:rPr>
          <m:t>t</m:t>
        </m:r>
      </m:oMath>
      <w:r w:rsidRPr="005A1ECA">
        <w:rPr>
          <w:rFonts w:ascii="Times New Roman" w:hAnsi="Times New Roman" w:cs="Times New Roman"/>
          <w:bCs/>
          <w:sz w:val="24"/>
          <w:szCs w:val="24"/>
        </w:rPr>
        <w:t xml:space="preserve">. The key explanatory variable, </w:t>
      </w:r>
      <m:oMath>
        <m:sSub>
          <m:sSubPr>
            <m:ctrlPr>
              <w:rPr>
                <w:rFonts w:ascii="Cambria Math" w:hAnsi="Cambria Math" w:cs="Times New Roman"/>
                <w:bCs/>
                <w:sz w:val="24"/>
                <w:szCs w:val="24"/>
              </w:rPr>
            </m:ctrlPr>
          </m:sSubPr>
          <m:e>
            <w:proofErr w:type="spellStart"/>
            <m:r>
              <m:rPr>
                <m:nor/>
              </m:rPr>
              <w:rPr>
                <w:rFonts w:ascii="Times New Roman" w:hAnsi="Times New Roman" w:cs="Times New Roman"/>
                <w:bCs/>
                <w:sz w:val="24"/>
                <w:szCs w:val="24"/>
              </w:rPr>
              <m:t>LaborMarketCondition</m:t>
            </m:r>
            <w:proofErr w:type="spellEnd"/>
          </m:e>
          <m:sub>
            <m:r>
              <w:rPr>
                <w:rFonts w:ascii="Cambria Math" w:hAnsi="Cambria Math" w:cs="Times New Roman"/>
                <w:sz w:val="24"/>
                <w:szCs w:val="24"/>
              </w:rPr>
              <m:t>ct</m:t>
            </m:r>
          </m:sub>
        </m:sSub>
      </m:oMath>
      <w:r w:rsidRPr="005A1ECA">
        <w:rPr>
          <w:rFonts w:ascii="Times New Roman" w:hAnsi="Times New Roman" w:cs="Times New Roman"/>
          <w:bCs/>
          <w:sz w:val="24"/>
          <w:szCs w:val="24"/>
        </w:rPr>
        <w:t xml:space="preserve">, represents a measure of local labor market conditions in county </w:t>
      </w:r>
      <m:oMath>
        <m:r>
          <w:rPr>
            <w:rFonts w:ascii="Cambria Math" w:hAnsi="Cambria Math" w:cs="Times New Roman"/>
            <w:sz w:val="24"/>
            <w:szCs w:val="24"/>
          </w:rPr>
          <m:t>c</m:t>
        </m:r>
        <m:r>
          <w:rPr>
            <w:rFonts w:ascii="Cambria Math" w:hAnsi="Cambria Math" w:cs="Times New Roman"/>
            <w:sz w:val="24"/>
            <w:szCs w:val="24"/>
          </w:rPr>
          <m:t xml:space="preserve"> </m:t>
        </m:r>
      </m:oMath>
      <w:r w:rsidRPr="005A1ECA">
        <w:rPr>
          <w:rFonts w:ascii="Times New Roman" w:hAnsi="Times New Roman" w:cs="Times New Roman"/>
          <w:bCs/>
          <w:sz w:val="24"/>
          <w:szCs w:val="24"/>
        </w:rPr>
        <w:t xml:space="preserve">and year </w:t>
      </w:r>
      <m:oMath>
        <m:r>
          <w:rPr>
            <w:rFonts w:ascii="Cambria Math" w:hAnsi="Cambria Math" w:cs="Times New Roman"/>
            <w:sz w:val="24"/>
            <w:szCs w:val="24"/>
          </w:rPr>
          <m:t>t</m:t>
        </m:r>
      </m:oMath>
      <w:r w:rsidRPr="005A1ECA">
        <w:rPr>
          <w:rFonts w:ascii="Times New Roman" w:hAnsi="Times New Roman" w:cs="Times New Roman"/>
          <w:bCs/>
          <w:sz w:val="24"/>
          <w:szCs w:val="24"/>
        </w:rPr>
        <w:t>, such as the unemployment rate, GDP growth, or industry-specific hiring activity.</w:t>
      </w:r>
    </w:p>
    <w:p w14:paraId="6356FADD" w14:textId="01EF708A" w:rsidR="005A1ECA" w:rsidRPr="005A1ECA" w:rsidRDefault="005A1ECA" w:rsidP="005A1ECA">
      <w:pPr>
        <w:pStyle w:val="NoSpacing"/>
        <w:widowControl w:val="0"/>
        <w:rPr>
          <w:rFonts w:ascii="Times New Roman" w:hAnsi="Times New Roman" w:cs="Times New Roman"/>
          <w:bCs/>
          <w:sz w:val="24"/>
          <w:szCs w:val="24"/>
        </w:rPr>
      </w:pPr>
      <w:r w:rsidRPr="005A1ECA">
        <w:rPr>
          <w:rFonts w:ascii="Times New Roman" w:hAnsi="Times New Roman" w:cs="Times New Roman"/>
          <w:bCs/>
          <w:sz w:val="24"/>
          <w:szCs w:val="24"/>
        </w:rPr>
        <w:t xml:space="preserve">The vector </w:t>
      </w:r>
      <m:oMath>
        <m:sSubSup>
          <m:sSubSupPr>
            <m:ctrlPr>
              <w:rPr>
                <w:rFonts w:ascii="Cambria Math" w:hAnsi="Cambria Math" w:cs="Times New Roman"/>
                <w:bCs/>
                <w:sz w:val="24"/>
                <w:szCs w:val="24"/>
              </w:rPr>
            </m:ctrlPr>
          </m:sSubSupPr>
          <m:e>
            <m:r>
              <m:rPr>
                <m:sty m:val="bi"/>
              </m:rPr>
              <w:rPr>
                <w:rFonts w:ascii="Cambria Math" w:hAnsi="Cambria Math" w:cs="Times New Roman"/>
                <w:sz w:val="24"/>
                <w:szCs w:val="24"/>
              </w:rPr>
              <m:t>X</m:t>
            </m:r>
          </m:e>
          <m:sub>
            <m:r>
              <w:rPr>
                <w:rFonts w:ascii="Cambria Math" w:hAnsi="Cambria Math" w:cs="Times New Roman"/>
                <w:sz w:val="24"/>
                <w:szCs w:val="24"/>
              </w:rPr>
              <m:t>it</m:t>
            </m:r>
          </m:sub>
          <m:sup>
            <m:r>
              <m:rPr>
                <m:sty m:val="p"/>
              </m:rPr>
              <w:rPr>
                <w:rFonts w:ascii="Cambria Math" w:hAnsi="Cambria Math" w:cs="Times New Roman"/>
                <w:sz w:val="24"/>
                <w:szCs w:val="24"/>
              </w:rPr>
              <m:t>'</m:t>
            </m:r>
          </m:sup>
        </m:sSubSup>
      </m:oMath>
      <w:r w:rsidRPr="005A1ECA">
        <w:rPr>
          <w:rFonts w:ascii="Times New Roman" w:hAnsi="Times New Roman" w:cs="Times New Roman"/>
          <w:bCs/>
          <w:sz w:val="24"/>
          <w:szCs w:val="24"/>
        </w:rPr>
        <w:t xml:space="preserve">includes teacher-level characteristics such as race and ethnicity, years of teaching experience, age, certification type, salary, and educational background. The vector </w:t>
      </w:r>
      <m:oMath>
        <m:sSubSup>
          <m:sSubSupPr>
            <m:ctrlPr>
              <w:rPr>
                <w:rFonts w:ascii="Cambria Math" w:hAnsi="Cambria Math" w:cs="Times New Roman"/>
                <w:bCs/>
                <w:sz w:val="24"/>
                <w:szCs w:val="24"/>
              </w:rPr>
            </m:ctrlPr>
          </m:sSubSupPr>
          <m:e>
            <m:r>
              <m:rPr>
                <m:sty m:val="bi"/>
              </m:rPr>
              <w:rPr>
                <w:rFonts w:ascii="Cambria Math" w:hAnsi="Cambria Math" w:cs="Times New Roman"/>
                <w:sz w:val="24"/>
                <w:szCs w:val="24"/>
              </w:rPr>
              <m:t>Y</m:t>
            </m:r>
          </m:e>
          <m:sub>
            <m:r>
              <w:rPr>
                <w:rFonts w:ascii="Cambria Math" w:hAnsi="Cambria Math" w:cs="Times New Roman"/>
                <w:sz w:val="24"/>
                <w:szCs w:val="24"/>
              </w:rPr>
              <m:t>st</m:t>
            </m:r>
          </m:sub>
          <m:sup>
            <m:r>
              <m:rPr>
                <m:sty m:val="p"/>
              </m:rPr>
              <w:rPr>
                <w:rFonts w:ascii="Cambria Math" w:hAnsi="Cambria Math" w:cs="Times New Roman"/>
                <w:sz w:val="24"/>
                <w:szCs w:val="24"/>
              </w:rPr>
              <m:t>'</m:t>
            </m:r>
          </m:sup>
        </m:sSubSup>
      </m:oMath>
      <w:r w:rsidRPr="005A1ECA">
        <w:rPr>
          <w:rFonts w:ascii="Times New Roman" w:hAnsi="Times New Roman" w:cs="Times New Roman"/>
          <w:bCs/>
          <w:sz w:val="24"/>
          <w:szCs w:val="24"/>
        </w:rPr>
        <w:t xml:space="preserve">includes school-level characteristics such as student demographic composition (race, economic disadvantage, English learner status), logged enrollment, and non-CTE teacher turnover rates. The vector </w:t>
      </w:r>
      <m:oMath>
        <m:sSubSup>
          <m:sSubSupPr>
            <m:ctrlPr>
              <w:rPr>
                <w:rFonts w:ascii="Cambria Math" w:hAnsi="Cambria Math" w:cs="Times New Roman"/>
                <w:bCs/>
                <w:sz w:val="24"/>
                <w:szCs w:val="24"/>
              </w:rPr>
            </m:ctrlPr>
          </m:sSubSupPr>
          <m:e>
            <m:r>
              <m:rPr>
                <m:sty m:val="bi"/>
              </m:rPr>
              <w:rPr>
                <w:rFonts w:ascii="Cambria Math" w:hAnsi="Cambria Math" w:cs="Times New Roman"/>
                <w:sz w:val="24"/>
                <w:szCs w:val="24"/>
              </w:rPr>
              <m:t>Z</m:t>
            </m:r>
          </m:e>
          <m:sub>
            <m:r>
              <w:rPr>
                <w:rFonts w:ascii="Cambria Math" w:hAnsi="Cambria Math" w:cs="Times New Roman"/>
                <w:sz w:val="24"/>
                <w:szCs w:val="24"/>
              </w:rPr>
              <m:t>ct</m:t>
            </m:r>
          </m:sub>
          <m:sup>
            <m:r>
              <m:rPr>
                <m:sty m:val="p"/>
              </m:rPr>
              <w:rPr>
                <w:rFonts w:ascii="Cambria Math" w:hAnsi="Cambria Math" w:cs="Times New Roman"/>
                <w:sz w:val="24"/>
                <w:szCs w:val="24"/>
              </w:rPr>
              <m:t>'</m:t>
            </m:r>
          </m:sup>
        </m:sSubSup>
      </m:oMath>
      <w:r w:rsidRPr="005A1ECA">
        <w:rPr>
          <w:rFonts w:ascii="Times New Roman" w:hAnsi="Times New Roman" w:cs="Times New Roman"/>
          <w:bCs/>
          <w:sz w:val="24"/>
          <w:szCs w:val="24"/>
        </w:rPr>
        <w:t>includes time-varying county characteristics such as population size and demographic composition. The model includes year fixed effects (</w:t>
      </w:r>
      <m:oMath>
        <m:sSub>
          <m:sSubPr>
            <m:ctrlPr>
              <w:rPr>
                <w:rFonts w:ascii="Cambria Math" w:hAnsi="Cambria Math" w:cs="Times New Roman"/>
                <w:bCs/>
                <w:sz w:val="24"/>
                <w:szCs w:val="24"/>
              </w:rPr>
            </m:ctrlPr>
          </m:sSubPr>
          <m:e>
            <m:r>
              <w:rPr>
                <w:rFonts w:ascii="Cambria Math" w:hAnsi="Cambria Math" w:cs="Times New Roman"/>
                <w:sz w:val="24"/>
                <w:szCs w:val="24"/>
              </w:rPr>
              <m:t>π</m:t>
            </m:r>
          </m:e>
          <m:sub>
            <m:r>
              <w:rPr>
                <w:rFonts w:ascii="Cambria Math" w:hAnsi="Cambria Math" w:cs="Times New Roman"/>
                <w:sz w:val="24"/>
                <w:szCs w:val="24"/>
              </w:rPr>
              <m:t>t</m:t>
            </m:r>
          </m:sub>
        </m:sSub>
      </m:oMath>
      <w:r w:rsidRPr="005A1ECA">
        <w:rPr>
          <w:rFonts w:ascii="Times New Roman" w:hAnsi="Times New Roman" w:cs="Times New Roman"/>
          <w:bCs/>
          <w:sz w:val="24"/>
          <w:szCs w:val="24"/>
        </w:rPr>
        <w:t>) to account for statewide shocks and trends, and county fixed effects (</w:t>
      </w:r>
      <m:oMath>
        <m:sSub>
          <m:sSubPr>
            <m:ctrlPr>
              <w:rPr>
                <w:rFonts w:ascii="Cambria Math" w:hAnsi="Cambria Math" w:cs="Times New Roman"/>
                <w:bCs/>
                <w:sz w:val="24"/>
                <w:szCs w:val="24"/>
              </w:rPr>
            </m:ctrlPr>
          </m:sSubPr>
          <m:e>
            <m:r>
              <w:rPr>
                <w:rFonts w:ascii="Cambria Math" w:hAnsi="Cambria Math" w:cs="Times New Roman"/>
                <w:sz w:val="24"/>
                <w:szCs w:val="24"/>
              </w:rPr>
              <m:t>κ</m:t>
            </m:r>
          </m:e>
          <m:sub>
            <m:r>
              <w:rPr>
                <w:rFonts w:ascii="Cambria Math" w:hAnsi="Cambria Math" w:cs="Times New Roman"/>
                <w:sz w:val="24"/>
                <w:szCs w:val="24"/>
              </w:rPr>
              <m:t>c</m:t>
            </m:r>
          </m:sub>
        </m:sSub>
      </m:oMath>
      <w:r w:rsidRPr="005A1ECA">
        <w:rPr>
          <w:rFonts w:ascii="Times New Roman" w:hAnsi="Times New Roman" w:cs="Times New Roman"/>
          <w:bCs/>
          <w:sz w:val="24"/>
          <w:szCs w:val="24"/>
        </w:rPr>
        <w:t>) so that identification relies on within-county changes in labor market conditions over time. Standard errors are clustered at the county level.</w:t>
      </w:r>
    </w:p>
    <w:p w14:paraId="0A233748" w14:textId="5D5B9951" w:rsidR="005A1ECA" w:rsidRPr="005A1ECA" w:rsidRDefault="005A1ECA" w:rsidP="00D340DE">
      <w:pPr>
        <w:pStyle w:val="NoSpacing"/>
        <w:widowControl w:val="0"/>
        <w:rPr>
          <w:rFonts w:ascii="Times New Roman" w:hAnsi="Times New Roman" w:cs="Times New Roman"/>
          <w:bCs/>
          <w:sz w:val="24"/>
          <w:szCs w:val="24"/>
        </w:rPr>
      </w:pPr>
      <w:r w:rsidRPr="005A1ECA">
        <w:rPr>
          <w:rFonts w:ascii="Times New Roman" w:hAnsi="Times New Roman" w:cs="Times New Roman"/>
          <w:bCs/>
          <w:sz w:val="24"/>
          <w:szCs w:val="24"/>
        </w:rPr>
        <w:t xml:space="preserve">The coefficient of interest, </w:t>
      </w:r>
      <m:oMath>
        <m:sSub>
          <m:sSubPr>
            <m:ctrlPr>
              <w:rPr>
                <w:rFonts w:ascii="Cambria Math" w:hAnsi="Cambria Math" w:cs="Times New Roman"/>
                <w:bCs/>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5A1ECA">
        <w:rPr>
          <w:rFonts w:ascii="Times New Roman" w:hAnsi="Times New Roman" w:cs="Times New Roman"/>
          <w:bCs/>
          <w:sz w:val="24"/>
          <w:szCs w:val="24"/>
        </w:rPr>
        <w:t xml:space="preserve">, represents the estimated change in the probability of CTE teacher turnover associated with a one-unit change in the local labor market </w:t>
      </w:r>
      <w:proofErr w:type="gramStart"/>
      <w:r w:rsidRPr="005A1ECA">
        <w:rPr>
          <w:rFonts w:ascii="Times New Roman" w:hAnsi="Times New Roman" w:cs="Times New Roman"/>
          <w:bCs/>
          <w:sz w:val="24"/>
          <w:szCs w:val="24"/>
        </w:rPr>
        <w:t>condition</w:t>
      </w:r>
      <w:proofErr w:type="gramEnd"/>
      <w:r w:rsidRPr="005A1ECA">
        <w:rPr>
          <w:rFonts w:ascii="Times New Roman" w:hAnsi="Times New Roman" w:cs="Times New Roman"/>
          <w:bCs/>
          <w:sz w:val="24"/>
          <w:szCs w:val="24"/>
        </w:rPr>
        <w:t xml:space="preserve">. For example, when the labor market measure is the unemployment rate, </w:t>
      </w:r>
      <m:oMath>
        <m:sSub>
          <m:sSubPr>
            <m:ctrlPr>
              <w:rPr>
                <w:rFonts w:ascii="Cambria Math" w:hAnsi="Cambria Math" w:cs="Times New Roman"/>
                <w:bCs/>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5A1ECA">
        <w:rPr>
          <w:rFonts w:ascii="Times New Roman" w:hAnsi="Times New Roman" w:cs="Times New Roman"/>
          <w:bCs/>
          <w:sz w:val="24"/>
          <w:szCs w:val="24"/>
        </w:rPr>
        <w:t>captures the change in the probability of turnover associated with a one–percentage-point increase in county unemployment.</w:t>
      </w:r>
    </w:p>
    <w:p w14:paraId="040C8539" w14:textId="77777777" w:rsidR="005A1ECA" w:rsidRPr="005A1ECA" w:rsidRDefault="005A1ECA" w:rsidP="00B07FB6">
      <w:pPr>
        <w:pStyle w:val="NoSpacing"/>
        <w:widowControl w:val="0"/>
        <w:ind w:firstLine="0"/>
        <w:rPr>
          <w:rFonts w:ascii="Times New Roman" w:hAnsi="Times New Roman" w:cs="Times New Roman"/>
          <w:b/>
          <w:bCs/>
          <w:sz w:val="24"/>
          <w:szCs w:val="24"/>
        </w:rPr>
      </w:pPr>
      <w:r w:rsidRPr="005A1ECA">
        <w:rPr>
          <w:rFonts w:ascii="Times New Roman" w:hAnsi="Times New Roman" w:cs="Times New Roman"/>
          <w:b/>
          <w:bCs/>
          <w:sz w:val="24"/>
          <w:szCs w:val="24"/>
        </w:rPr>
        <w:t>Heterogeneity by Career Cluster</w:t>
      </w:r>
    </w:p>
    <w:p w14:paraId="6F5F9ACB" w14:textId="63988EDE" w:rsidR="005A1ECA" w:rsidRPr="005A1ECA" w:rsidRDefault="005A1ECA" w:rsidP="005A1ECA">
      <w:pPr>
        <w:pStyle w:val="NoSpacing"/>
        <w:widowControl w:val="0"/>
        <w:rPr>
          <w:rFonts w:ascii="Times New Roman" w:hAnsi="Times New Roman" w:cs="Times New Roman"/>
          <w:bCs/>
          <w:sz w:val="24"/>
          <w:szCs w:val="24"/>
        </w:rPr>
      </w:pPr>
      <w:r w:rsidRPr="005A1ECA">
        <w:rPr>
          <w:rFonts w:ascii="Times New Roman" w:hAnsi="Times New Roman" w:cs="Times New Roman"/>
          <w:bCs/>
          <w:sz w:val="24"/>
          <w:szCs w:val="24"/>
        </w:rPr>
        <w:t>To address Research Question 2, the analysis examines heterogeneity in the relationship between local labor market conditions and CTE teacher turnover across career cluster areas</w:t>
      </w:r>
      <w:r w:rsidR="00A411EB" w:rsidRPr="00A411EB">
        <w:rPr>
          <w:rFonts w:ascii="Times New Roman" w:hAnsi="Times New Roman" w:cs="Times New Roman"/>
          <w:bCs/>
          <w:sz w:val="24"/>
          <w:szCs w:val="24"/>
        </w:rPr>
        <w:t xml:space="preserve">. </w:t>
      </w:r>
      <w:r w:rsidR="00A411EB" w:rsidRPr="00A411EB">
        <w:rPr>
          <w:rFonts w:ascii="Times New Roman" w:hAnsi="Times New Roman" w:cs="Times New Roman"/>
          <w:sz w:val="24"/>
          <w:szCs w:val="24"/>
        </w:rPr>
        <w:t xml:space="preserve">Table </w:t>
      </w:r>
      <w:r w:rsidR="00A411EB" w:rsidRPr="00A411EB">
        <w:rPr>
          <w:rFonts w:ascii="Times New Roman" w:hAnsi="Times New Roman" w:cs="Times New Roman"/>
          <w:sz w:val="24"/>
          <w:szCs w:val="24"/>
        </w:rPr>
        <w:lastRenderedPageBreak/>
        <w:t>2</w:t>
      </w:r>
      <w:r w:rsidR="00A411EB" w:rsidRPr="00A411EB">
        <w:rPr>
          <w:rFonts w:ascii="Times New Roman" w:hAnsi="Times New Roman" w:cs="Times New Roman"/>
          <w:sz w:val="24"/>
          <w:szCs w:val="24"/>
        </w:rPr>
        <w:t xml:space="preserve"> reports the share of CTE courses by cluster, and I focus on clusters with adequate sample size and variation. </w:t>
      </w:r>
      <w:r w:rsidRPr="005A1ECA">
        <w:rPr>
          <w:rFonts w:ascii="Times New Roman" w:hAnsi="Times New Roman" w:cs="Times New Roman"/>
          <w:bCs/>
          <w:sz w:val="24"/>
          <w:szCs w:val="24"/>
        </w:rPr>
        <w:t>First, the sample is restricted to individual career clusters with sufficient sample size and variation, and Equation (1) is estimated separately within each cluster. This approach provides cluster-specific estimates that are straightforward to interpret and compare.</w:t>
      </w:r>
    </w:p>
    <w:p w14:paraId="5B972596" w14:textId="3C4DA627" w:rsidR="00336E16" w:rsidRPr="00D340DE" w:rsidRDefault="005A1ECA" w:rsidP="00D340DE">
      <w:pPr>
        <w:pStyle w:val="NoSpacing"/>
        <w:widowControl w:val="0"/>
        <w:rPr>
          <w:rFonts w:ascii="Times New Roman" w:hAnsi="Times New Roman" w:cs="Times New Roman"/>
          <w:bCs/>
          <w:sz w:val="24"/>
          <w:szCs w:val="24"/>
        </w:rPr>
      </w:pPr>
      <w:r w:rsidRPr="005A1ECA">
        <w:rPr>
          <w:rFonts w:ascii="Times New Roman" w:hAnsi="Times New Roman" w:cs="Times New Roman"/>
          <w:bCs/>
          <w:sz w:val="24"/>
          <w:szCs w:val="24"/>
        </w:rPr>
        <w:t xml:space="preserve">Second, to increase statistical power and formally test differences across clusters, the study estimates interaction models that extend Equation (1) by </w:t>
      </w:r>
      <w:proofErr w:type="gramStart"/>
      <w:r w:rsidRPr="005A1ECA">
        <w:rPr>
          <w:rFonts w:ascii="Times New Roman" w:hAnsi="Times New Roman" w:cs="Times New Roman"/>
          <w:bCs/>
          <w:sz w:val="24"/>
          <w:szCs w:val="24"/>
        </w:rPr>
        <w:t>interacting</w:t>
      </w:r>
      <w:proofErr w:type="gramEnd"/>
      <w:r w:rsidRPr="005A1ECA">
        <w:rPr>
          <w:rFonts w:ascii="Times New Roman" w:hAnsi="Times New Roman" w:cs="Times New Roman"/>
          <w:bCs/>
          <w:sz w:val="24"/>
          <w:szCs w:val="24"/>
        </w:rPr>
        <w:t xml:space="preserve"> the labor market condition variable with indicators for CTE career clusters. These models allow direct tests of whether the association between labor market conditions and turnover differs significantly across clusters, consistent with the hypothesis that teachers in high-demand, STEM-aligned pathways face stronger outside options and higher opportunity costs of remaining in the classroom.</w:t>
      </w:r>
    </w:p>
    <w:p w14:paraId="5080ECA5" w14:textId="7997D8C4" w:rsidR="00336E16" w:rsidRPr="00D340DE" w:rsidRDefault="00336E16" w:rsidP="00D340DE">
      <w:pPr>
        <w:widowControl w:val="0"/>
        <w:jc w:val="center"/>
        <w:rPr>
          <w:i/>
        </w:rPr>
      </w:pPr>
      <w:r w:rsidRPr="00C356AE">
        <w:rPr>
          <w:b/>
        </w:rPr>
        <w:t>Findings or Results</w:t>
      </w:r>
    </w:p>
    <w:p w14:paraId="3DA4E9A9" w14:textId="53C09880" w:rsidR="00C149B9" w:rsidRPr="00C356AE" w:rsidRDefault="00C149B9" w:rsidP="00EE59AC">
      <w:pPr>
        <w:widowControl w:val="0"/>
      </w:pPr>
      <w:r w:rsidRPr="00C149B9">
        <w:t>I focus first on estimates using the county unemployment rate as the primary measure of local labor market conditions</w:t>
      </w:r>
      <w:r w:rsidR="00350E5B">
        <w:t xml:space="preserve"> (see Table 3)</w:t>
      </w:r>
      <w:r w:rsidRPr="00C149B9">
        <w:t>. For district exit, the results show no statistically significant relationship between unemployment and the likelihood that CTE teachers leave their employing district. Across specifications, changes in county unemployment are not meaningfully associated with district-to-district mobility among CTE teachers.</w:t>
      </w:r>
      <w:r w:rsidR="00EE59AC" w:rsidRPr="00C356AE">
        <w:t xml:space="preserve"> </w:t>
      </w:r>
      <w:r w:rsidRPr="00C149B9">
        <w:t xml:space="preserve">In contrast, </w:t>
      </w:r>
      <w:r w:rsidR="00395177" w:rsidRPr="00C356AE">
        <w:t>I find a statistically significant association between county unemployment rates and CTE teachers’ exits from teaching that are explicitly coded as leaving to work outside of education.</w:t>
      </w:r>
      <w:r w:rsidR="00395177" w:rsidRPr="00C356AE">
        <w:t xml:space="preserve"> </w:t>
      </w:r>
      <w:r w:rsidRPr="00C149B9">
        <w:t>Specifically, a one–percentage-point increase in county unemployment</w:t>
      </w:r>
      <w:r w:rsidR="00571C66" w:rsidRPr="00C356AE">
        <w:t xml:space="preserve">, </w:t>
      </w:r>
      <w:r w:rsidRPr="00C149B9">
        <w:t>reflecting a weaker local labor market</w:t>
      </w:r>
      <w:r w:rsidR="00571C66" w:rsidRPr="00C356AE">
        <w:t xml:space="preserve">, </w:t>
      </w:r>
      <w:r w:rsidRPr="00C149B9">
        <w:t>is associated with a small but statistically significant decrease in the probability that CTE teachers exit teaching to work outside of education. The estimated coefficient is approximately –0.003, indicating that CTE teachers are modestly less likely to leave the profession as unemployment rises.</w:t>
      </w:r>
      <w:r w:rsidR="00613E9D" w:rsidRPr="00C356AE">
        <w:t xml:space="preserve"> </w:t>
      </w:r>
      <w:r w:rsidRPr="00C149B9">
        <w:t xml:space="preserve">Although the magnitude of this effect is small, it is consistent across model specifications and aligns with theoretical expectations and prior evidence that teacher exits are countercyclical. Taken together, these findings suggest that local labor market conditions, as measured by unemployment, </w:t>
      </w:r>
      <w:r w:rsidR="004E543F" w:rsidRPr="00C356AE">
        <w:t>are more strongly related to teachers’ decisions to exit teaching for employment outside of education</w:t>
      </w:r>
      <w:r w:rsidR="004E543F" w:rsidRPr="00C356AE">
        <w:t xml:space="preserve">. </w:t>
      </w:r>
    </w:p>
    <w:p w14:paraId="5847AC14" w14:textId="24B10233" w:rsidR="00D2452C" w:rsidRPr="00C356AE" w:rsidRDefault="00D2452C" w:rsidP="00EE59AC">
      <w:pPr>
        <w:widowControl w:val="0"/>
      </w:pPr>
      <w:r w:rsidRPr="00C356AE">
        <w:t xml:space="preserve">I </w:t>
      </w:r>
      <w:proofErr w:type="gramStart"/>
      <w:r w:rsidRPr="00C356AE">
        <w:t>next examine</w:t>
      </w:r>
      <w:proofErr w:type="gramEnd"/>
      <w:r w:rsidRPr="00C356AE">
        <w:t xml:space="preserve"> estimates using county-level GDP percent change as a measure of local labor market strength</w:t>
      </w:r>
      <w:r w:rsidR="00350E5B">
        <w:t xml:space="preserve"> (see Table 4)</w:t>
      </w:r>
      <w:r w:rsidRPr="00C356AE">
        <w:t xml:space="preserve">. The results indicate that strong GDP growth is associated with higher rates of both CTE teacher district exit and exits from teaching to work outside of education, relative to counties with moderate or negative GDP change. However, district exit is the only outcome for which the estimate is statistically significant. </w:t>
      </w:r>
      <w:r w:rsidR="00B70706" w:rsidRPr="00C356AE">
        <w:t>Specifically, teachers in counties with strong labor markets</w:t>
      </w:r>
      <w:r w:rsidR="00B70706" w:rsidRPr="00C356AE">
        <w:t xml:space="preserve">, </w:t>
      </w:r>
      <w:r w:rsidR="00B70706" w:rsidRPr="00C356AE">
        <w:t>defined by above-average GDP growth</w:t>
      </w:r>
      <w:r w:rsidR="00B70706" w:rsidRPr="00C356AE">
        <w:t xml:space="preserve">, </w:t>
      </w:r>
      <w:r w:rsidR="00B70706" w:rsidRPr="00C356AE">
        <w:t>are approximately 1 percentage point more likely to exit their district than teachers in counties with moderate economic conditions.</w:t>
      </w:r>
      <w:r w:rsidR="00494AD6" w:rsidRPr="00C356AE">
        <w:t xml:space="preserve"> </w:t>
      </w:r>
    </w:p>
    <w:p w14:paraId="797C940D" w14:textId="33F727B9" w:rsidR="00231B99" w:rsidRPr="00231B99" w:rsidRDefault="00494AD6" w:rsidP="00D340DE">
      <w:pPr>
        <w:widowControl w:val="0"/>
      </w:pPr>
      <w:r w:rsidRPr="00C356AE">
        <w:t>I find no statistically significant relationships between CTE teacher turnover and either firm job gains or the replacement hiring rate</w:t>
      </w:r>
      <w:r w:rsidR="00DA6350">
        <w:t xml:space="preserve"> (see Table 4)</w:t>
      </w:r>
      <w:r w:rsidRPr="00C356AE">
        <w:t>, suggesting that these dimensions of local labor demand are less strongly associated with CTE teacher exits than broader measures of labor market strength.</w:t>
      </w:r>
    </w:p>
    <w:p w14:paraId="57D82CDD" w14:textId="5AA48FAD" w:rsidR="00336E16" w:rsidRPr="00C356AE" w:rsidRDefault="00231B99" w:rsidP="00D340DE">
      <w:pPr>
        <w:widowControl w:val="0"/>
      </w:pPr>
      <w:r w:rsidRPr="00231B99">
        <w:t xml:space="preserve">I next examine whether the relationship between </w:t>
      </w:r>
      <w:r w:rsidR="008067D4">
        <w:t xml:space="preserve">county level unemployment rates </w:t>
      </w:r>
      <w:r w:rsidRPr="00231B99">
        <w:t>and CTE teacher turnover varies across career clusters by estimating interaction models between county unemployment rates and career cluster indicators</w:t>
      </w:r>
      <w:r w:rsidR="00D57EDA">
        <w:t xml:space="preserve"> (See Table 5)</w:t>
      </w:r>
      <w:r w:rsidRPr="00231B99">
        <w:t>.</w:t>
      </w:r>
      <w:r w:rsidR="003A178F" w:rsidRPr="00C356AE">
        <w:t xml:space="preserve"> </w:t>
      </w:r>
      <w:r w:rsidRPr="00231B99">
        <w:t xml:space="preserve">The interaction estimates reveal meaningful heterogeneity across clusters, with statistically significant relationships concentrated in a small number of fields. Notably, Architecture and Construction is the only career cluster for which unemployment is significantly associated with both </w:t>
      </w:r>
      <w:proofErr w:type="gramStart"/>
      <w:r w:rsidRPr="00231B99">
        <w:t>district</w:t>
      </w:r>
      <w:proofErr w:type="gramEnd"/>
      <w:r w:rsidRPr="00231B99">
        <w:t xml:space="preserve"> exit and exits from teaching to work outside of education. </w:t>
      </w:r>
      <w:r w:rsidR="00A71D2E" w:rsidRPr="00C356AE">
        <w:t>In this cluster, increases in the unemployment rate</w:t>
      </w:r>
      <w:r w:rsidR="00A71D2E" w:rsidRPr="00C356AE">
        <w:t xml:space="preserve">, </w:t>
      </w:r>
      <w:r w:rsidR="00A71D2E" w:rsidRPr="00C356AE">
        <w:t>indicative of weaker local labor markets</w:t>
      </w:r>
      <w:r w:rsidR="00A71D2E" w:rsidRPr="00C356AE">
        <w:t xml:space="preserve">, </w:t>
      </w:r>
      <w:r w:rsidR="00A71D2E" w:rsidRPr="00C356AE">
        <w:t>are associated with lower probabilities of CTE teacher turnover across both outcomes.</w:t>
      </w:r>
      <w:r w:rsidR="00A71D2E" w:rsidRPr="00C356AE">
        <w:t xml:space="preserve"> </w:t>
      </w:r>
      <w:r w:rsidRPr="00231B99">
        <w:t xml:space="preserve">Across other career clusters, statistically significant relationships </w:t>
      </w:r>
      <w:r w:rsidRPr="00231B99">
        <w:lastRenderedPageBreak/>
        <w:t xml:space="preserve">are more prevalent for the outcome measuring exits from teaching to work outside of education than for district exit. </w:t>
      </w:r>
      <w:r w:rsidR="00F53922" w:rsidRPr="00C356AE">
        <w:t>In several clusters, increases in unemployment are</w:t>
      </w:r>
      <w:r w:rsidR="0079214E">
        <w:t xml:space="preserve"> significantly</w:t>
      </w:r>
      <w:r w:rsidR="00F53922" w:rsidRPr="00C356AE">
        <w:t xml:space="preserve"> associated with a lower likelihood that CTE teachers leave the profession for non-education employment</w:t>
      </w:r>
      <w:r w:rsidRPr="00231B99">
        <w:t>, while estimates for district exit remain small and statistically insignificant. This pattern suggests that local labor market conditions are more strongly related to decisions to leave teaching altogether than to mobility within the education sector.</w:t>
      </w:r>
      <w:r w:rsidR="00985A31" w:rsidRPr="00C356AE">
        <w:t xml:space="preserve"> </w:t>
      </w:r>
      <w:r w:rsidRPr="00231B99">
        <w:t xml:space="preserve">Taken together, these results indicate that responsiveness to local labor market conditions is not uniform across CTE fields and is concentrated in clusters where industry employment opportunities may be particularly salient. </w:t>
      </w:r>
    </w:p>
    <w:p w14:paraId="1B3DF45B" w14:textId="7022809D" w:rsidR="00336E16" w:rsidRPr="00C356AE" w:rsidRDefault="00336E16" w:rsidP="00ED3D36">
      <w:pPr>
        <w:widowControl w:val="0"/>
        <w:jc w:val="center"/>
        <w:rPr>
          <w:i/>
        </w:rPr>
      </w:pPr>
      <w:r w:rsidRPr="00C356AE">
        <w:rPr>
          <w:b/>
        </w:rPr>
        <w:t>Conclusions and Implications</w:t>
      </w:r>
      <w:r w:rsidRPr="00C356AE">
        <w:t xml:space="preserve"> </w:t>
      </w:r>
    </w:p>
    <w:p w14:paraId="661CD4EA" w14:textId="11A0627E" w:rsidR="009B30F7" w:rsidRPr="00C356AE" w:rsidRDefault="00765892" w:rsidP="00765892">
      <w:pPr>
        <w:widowControl w:val="0"/>
        <w:ind w:firstLine="0"/>
        <w:mirrorIndents/>
      </w:pPr>
      <w:r w:rsidRPr="00C356AE">
        <w:tab/>
        <w:t>As</w:t>
      </w:r>
      <w:r w:rsidR="00BC3BE4" w:rsidRPr="00C356AE">
        <w:t xml:space="preserve"> </w:t>
      </w:r>
      <w:r w:rsidR="00BC3BE4" w:rsidRPr="00C356AE">
        <w:t>states and districts increasingly invest in CTE as a means of promoting economic mobility and meeting employer demand, the success of these efforts depends critically on the ability to recruit and retain qualified CTE teachers.</w:t>
      </w:r>
      <w:r w:rsidR="00607BA0" w:rsidRPr="00C356AE">
        <w:t xml:space="preserve"> </w:t>
      </w:r>
      <w:r w:rsidR="00607BA0" w:rsidRPr="00C356AE">
        <w:t xml:space="preserve">This study contributes to a growing literature on teacher labor markets by shifting attention from traditional academic teachers to CTE teachers, an underexplored but policy-relevant segment of the </w:t>
      </w:r>
      <w:r w:rsidR="00607BA0" w:rsidRPr="00C356AE">
        <w:t xml:space="preserve">teacher </w:t>
      </w:r>
      <w:r w:rsidR="00607BA0" w:rsidRPr="00C356AE">
        <w:t>workforce.</w:t>
      </w:r>
    </w:p>
    <w:p w14:paraId="6F703F42" w14:textId="0F555FFC" w:rsidR="00A21018" w:rsidRPr="00C356AE" w:rsidRDefault="00A21018" w:rsidP="00765892">
      <w:pPr>
        <w:widowControl w:val="0"/>
        <w:ind w:firstLine="0"/>
        <w:mirrorIndents/>
      </w:pPr>
      <w:r w:rsidRPr="00C356AE">
        <w:tab/>
      </w:r>
      <w:r w:rsidRPr="00C356AE">
        <w:t>The findings suggest that CTE teachers are responsive to local labor market conditions when deciding whether to exit teaching for employment outside of education, and that these responses vary across career clusters. This has important implications for CTE policy and for the long-term sustainability of CTE systems. As local labor markets strengthen, school leaders may need to anticipate greater challenges in recruiting and retaining CTE teachers, particularly in fields with strong industry demand. Districts may therefore need to adopt targeted strategies</w:t>
      </w:r>
      <w:r w:rsidR="00A5566A" w:rsidRPr="00C356AE">
        <w:t xml:space="preserve"> </w:t>
      </w:r>
      <w:r w:rsidRPr="00C356AE">
        <w:t>such as differentiated compensation, flexible staffing arrangements, or partnerships with local employers</w:t>
      </w:r>
      <w:r w:rsidR="00A5566A" w:rsidRPr="00C356AE">
        <w:t xml:space="preserve"> </w:t>
      </w:r>
      <w:r w:rsidRPr="00C356AE">
        <w:t>to incentivize CTE teachers to remain in the classroom and ensure a stable, qualified workforce. At the state level, investments in alternative certification pathways, industry-to-teaching pipelines, and policies that reduce barriers for industry professionals entering teaching may help mitigate staffing challenges and support the continued expansion of high-quality CTE programs.</w:t>
      </w:r>
    </w:p>
    <w:p w14:paraId="4E2A8812" w14:textId="345ED618" w:rsidR="00D340DE" w:rsidRDefault="00C64F45" w:rsidP="00D340DE">
      <w:pPr>
        <w:widowControl w:val="0"/>
        <w:ind w:firstLine="0"/>
        <w:mirrorIndents/>
      </w:pPr>
      <w:r w:rsidRPr="00C356AE">
        <w:tab/>
      </w:r>
      <w:r w:rsidR="00B07FB6" w:rsidRPr="00C356AE">
        <w:t xml:space="preserve">This study has several limitations. First, the analysis assumes that teachers respond </w:t>
      </w:r>
      <w:r w:rsidR="00643DC8">
        <w:t>predictably</w:t>
      </w:r>
      <w:r w:rsidR="00B07FB6" w:rsidRPr="00C356AE">
        <w:t xml:space="preserve"> to local labor market conditions, but it cannot capture individual decisions shaped by non-economic factors such as family circumstances, health, or personal preferences. In addition, administrative separation records provide limited information about teachers’ post-exit outcomes, making it difficult to distinguish between those who leave teaching to work outside of education and those who exit the labor force altogether. Second, the analysis measures labor market conditions at the county level and cannot account for the extent to which teachers may be influenced by economic conditions in neighboring</w:t>
      </w:r>
      <w:r w:rsidR="005A5436">
        <w:t xml:space="preserve"> </w:t>
      </w:r>
      <w:r w:rsidR="00B07FB6" w:rsidRPr="00C356AE">
        <w:t xml:space="preserve">counties. Third, the empirical models treat counties as comparable units, though teacher responses to local economic conditions may differ meaningfully between large metropolitan areas and smaller or more rural counties. Finally, </w:t>
      </w:r>
      <w:proofErr w:type="gramStart"/>
      <w:r w:rsidR="00B07FB6" w:rsidRPr="00C356AE">
        <w:t>analyses</w:t>
      </w:r>
      <w:proofErr w:type="gramEnd"/>
      <w:r w:rsidR="00B07FB6" w:rsidRPr="00C356AE">
        <w:t xml:space="preserve"> examining heterogeneity across career clusters are constrained by sample size in some industries, which may limit statistical power and the generalizability of cluster-specific findings</w:t>
      </w:r>
      <w:r w:rsidR="00D340DE">
        <w:t>.</w:t>
      </w:r>
    </w:p>
    <w:p w14:paraId="116F1841" w14:textId="77777777" w:rsidR="007B08B4" w:rsidRDefault="007B08B4" w:rsidP="00D340DE">
      <w:pPr>
        <w:widowControl w:val="0"/>
        <w:ind w:firstLine="0"/>
        <w:mirrorIndents/>
        <w:jc w:val="center"/>
        <w:rPr>
          <w:b/>
        </w:rPr>
      </w:pPr>
    </w:p>
    <w:p w14:paraId="62D575B3" w14:textId="77777777" w:rsidR="007B08B4" w:rsidRDefault="007B08B4" w:rsidP="00D340DE">
      <w:pPr>
        <w:widowControl w:val="0"/>
        <w:ind w:firstLine="0"/>
        <w:mirrorIndents/>
        <w:jc w:val="center"/>
        <w:rPr>
          <w:b/>
        </w:rPr>
      </w:pPr>
    </w:p>
    <w:p w14:paraId="5B104D2D" w14:textId="77777777" w:rsidR="007B08B4" w:rsidRDefault="007B08B4" w:rsidP="00D340DE">
      <w:pPr>
        <w:widowControl w:val="0"/>
        <w:ind w:firstLine="0"/>
        <w:mirrorIndents/>
        <w:jc w:val="center"/>
        <w:rPr>
          <w:b/>
        </w:rPr>
      </w:pPr>
    </w:p>
    <w:p w14:paraId="59054677" w14:textId="77777777" w:rsidR="007B08B4" w:rsidRDefault="007B08B4" w:rsidP="00D340DE">
      <w:pPr>
        <w:widowControl w:val="0"/>
        <w:ind w:firstLine="0"/>
        <w:mirrorIndents/>
        <w:jc w:val="center"/>
        <w:rPr>
          <w:b/>
        </w:rPr>
      </w:pPr>
    </w:p>
    <w:p w14:paraId="094B72D5" w14:textId="77777777" w:rsidR="007B08B4" w:rsidRDefault="007B08B4" w:rsidP="00D340DE">
      <w:pPr>
        <w:widowControl w:val="0"/>
        <w:ind w:firstLine="0"/>
        <w:mirrorIndents/>
        <w:jc w:val="center"/>
        <w:rPr>
          <w:b/>
        </w:rPr>
      </w:pPr>
    </w:p>
    <w:p w14:paraId="27AAC651" w14:textId="77777777" w:rsidR="007B08B4" w:rsidRDefault="007B08B4" w:rsidP="00D340DE">
      <w:pPr>
        <w:widowControl w:val="0"/>
        <w:ind w:firstLine="0"/>
        <w:mirrorIndents/>
        <w:jc w:val="center"/>
        <w:rPr>
          <w:b/>
        </w:rPr>
      </w:pPr>
    </w:p>
    <w:p w14:paraId="1B726796" w14:textId="77777777" w:rsidR="007B08B4" w:rsidRDefault="007B08B4" w:rsidP="00D340DE">
      <w:pPr>
        <w:widowControl w:val="0"/>
        <w:ind w:firstLine="0"/>
        <w:mirrorIndents/>
        <w:jc w:val="center"/>
        <w:rPr>
          <w:b/>
        </w:rPr>
      </w:pPr>
    </w:p>
    <w:p w14:paraId="0C59EA33" w14:textId="77777777" w:rsidR="007B08B4" w:rsidRDefault="007B08B4" w:rsidP="00D340DE">
      <w:pPr>
        <w:widowControl w:val="0"/>
        <w:ind w:firstLine="0"/>
        <w:mirrorIndents/>
        <w:jc w:val="center"/>
        <w:rPr>
          <w:b/>
        </w:rPr>
      </w:pPr>
    </w:p>
    <w:p w14:paraId="29683E91" w14:textId="77777777" w:rsidR="005A5436" w:rsidRDefault="005A5436" w:rsidP="00D340DE">
      <w:pPr>
        <w:widowControl w:val="0"/>
        <w:ind w:firstLine="0"/>
        <w:mirrorIndents/>
        <w:jc w:val="center"/>
        <w:rPr>
          <w:b/>
        </w:rPr>
      </w:pPr>
    </w:p>
    <w:p w14:paraId="43D1ED44" w14:textId="1F3519D8" w:rsidR="00336E16" w:rsidRPr="00C356AE" w:rsidRDefault="00336E16" w:rsidP="00D340DE">
      <w:pPr>
        <w:widowControl w:val="0"/>
        <w:ind w:firstLine="0"/>
        <w:mirrorIndents/>
        <w:jc w:val="center"/>
      </w:pPr>
      <w:r w:rsidRPr="00C356AE">
        <w:rPr>
          <w:b/>
        </w:rPr>
        <w:lastRenderedPageBreak/>
        <w:t xml:space="preserve">Appendix A </w:t>
      </w:r>
      <w:r w:rsidR="00410608" w:rsidRPr="00C356AE">
        <w:rPr>
          <w:b/>
        </w:rPr>
        <w:t>–</w:t>
      </w:r>
      <w:r w:rsidRPr="00C356AE">
        <w:rPr>
          <w:b/>
        </w:rPr>
        <w:t xml:space="preserve"> References</w:t>
      </w:r>
    </w:p>
    <w:p w14:paraId="5C237C56" w14:textId="77777777" w:rsidR="00F660D7" w:rsidRPr="00C356AE" w:rsidRDefault="00F660D7" w:rsidP="00AB2541">
      <w:pPr>
        <w:ind w:left="720" w:hanging="720"/>
        <w:jc w:val="left"/>
      </w:pPr>
      <w:r w:rsidRPr="00C356AE">
        <w:t xml:space="preserve">Advance CTE. (2016). </w:t>
      </w:r>
      <w:r w:rsidRPr="00C356AE">
        <w:rPr>
          <w:i/>
          <w:iCs/>
        </w:rPr>
        <w:t>The state of career technical education: Increasing access to industry experts in high schools</w:t>
      </w:r>
      <w:r w:rsidRPr="00C356AE">
        <w:t xml:space="preserve">. </w:t>
      </w:r>
      <w:hyperlink r:id="rId8" w:history="1">
        <w:r w:rsidRPr="00C356AE">
          <w:rPr>
            <w:rStyle w:val="Hyperlink"/>
          </w:rPr>
          <w:t>https://careertech.org/resource/the-state-of-career-technical-education-increasing-access-to-industry-experts-in-high-schools/</w:t>
        </w:r>
      </w:hyperlink>
    </w:p>
    <w:p w14:paraId="45E22498" w14:textId="77777777" w:rsidR="002725FE" w:rsidRPr="002725FE" w:rsidRDefault="002725FE" w:rsidP="00AB2541">
      <w:pPr>
        <w:ind w:left="720" w:hanging="720"/>
        <w:jc w:val="left"/>
      </w:pPr>
      <w:proofErr w:type="spellStart"/>
      <w:r w:rsidRPr="002725FE">
        <w:t>Asunda</w:t>
      </w:r>
      <w:proofErr w:type="spellEnd"/>
      <w:r w:rsidRPr="002725FE">
        <w:t xml:space="preserve">, P. A. (2012). Standards for technological literacy and STEM education delivery through career and technical education programs. </w:t>
      </w:r>
      <w:r w:rsidRPr="002725FE">
        <w:rPr>
          <w:i/>
          <w:iCs/>
        </w:rPr>
        <w:t>Journal of Technology Education, 23</w:t>
      </w:r>
      <w:r w:rsidRPr="002725FE">
        <w:t>(2), 44–60.</w:t>
      </w:r>
    </w:p>
    <w:p w14:paraId="0FA2A9D2" w14:textId="77777777" w:rsidR="002725FE" w:rsidRPr="002725FE" w:rsidRDefault="002725FE" w:rsidP="00AB2541">
      <w:pPr>
        <w:ind w:left="720" w:hanging="720"/>
        <w:jc w:val="left"/>
      </w:pPr>
      <w:proofErr w:type="spellStart"/>
      <w:r w:rsidRPr="002725FE">
        <w:t>Asunda</w:t>
      </w:r>
      <w:proofErr w:type="spellEnd"/>
      <w:r w:rsidRPr="002725FE">
        <w:t xml:space="preserve">, P. A. (2014). A conceptual framework for STEM integration into curriculum through career and technical education. </w:t>
      </w:r>
      <w:r w:rsidRPr="002725FE">
        <w:rPr>
          <w:i/>
          <w:iCs/>
        </w:rPr>
        <w:t>Journal of STEM Teacher Education, 49</w:t>
      </w:r>
      <w:r w:rsidRPr="002725FE">
        <w:t>(1), 4.</w:t>
      </w:r>
    </w:p>
    <w:p w14:paraId="6E59A584" w14:textId="77777777" w:rsidR="002725FE" w:rsidRPr="002725FE" w:rsidRDefault="002725FE" w:rsidP="00AB2541">
      <w:pPr>
        <w:ind w:left="720" w:hanging="720"/>
        <w:jc w:val="left"/>
      </w:pPr>
      <w:r w:rsidRPr="002725FE">
        <w:t xml:space="preserve">Bacher-Hicks, A., Chi, O. L., &amp; Orellana, A. (2023). Two years later: How COVID-19 has shaped the </w:t>
      </w:r>
      <w:proofErr w:type="gramStart"/>
      <w:r w:rsidRPr="002725FE">
        <w:t>teacher</w:t>
      </w:r>
      <w:proofErr w:type="gramEnd"/>
      <w:r w:rsidRPr="002725FE">
        <w:t xml:space="preserve"> workforce. </w:t>
      </w:r>
      <w:r w:rsidRPr="002725FE">
        <w:rPr>
          <w:i/>
          <w:iCs/>
        </w:rPr>
        <w:t>Educational Researcher, 52</w:t>
      </w:r>
      <w:r w:rsidRPr="002725FE">
        <w:t>(4), 219–229.</w:t>
      </w:r>
    </w:p>
    <w:p w14:paraId="002FBD0E" w14:textId="77777777" w:rsidR="002725FE" w:rsidRPr="002725FE" w:rsidRDefault="002725FE" w:rsidP="00AB2541">
      <w:pPr>
        <w:ind w:left="720" w:hanging="720"/>
        <w:jc w:val="left"/>
      </w:pPr>
      <w:r w:rsidRPr="002725FE">
        <w:t xml:space="preserve">Bleiberg, J. F., &amp; Kraft, M. A. (2023). What happened to the K–12 education labor market during COVID? The acute need for better data systems. </w:t>
      </w:r>
      <w:r w:rsidRPr="002725FE">
        <w:rPr>
          <w:i/>
          <w:iCs/>
        </w:rPr>
        <w:t>Education Finance and Policy, 18</w:t>
      </w:r>
      <w:r w:rsidRPr="002725FE">
        <w:t>(1), 156–172.</w:t>
      </w:r>
    </w:p>
    <w:p w14:paraId="0A27D778" w14:textId="77777777" w:rsidR="002725FE" w:rsidRPr="002725FE" w:rsidRDefault="002725FE" w:rsidP="00AB2541">
      <w:pPr>
        <w:ind w:left="720" w:hanging="720"/>
        <w:jc w:val="left"/>
      </w:pPr>
      <w:r w:rsidRPr="002725FE">
        <w:t xml:space="preserve">Bonilla, S. (2020). The dropout effects of career pathways: Evidence from California. </w:t>
      </w:r>
      <w:r w:rsidRPr="002725FE">
        <w:rPr>
          <w:i/>
          <w:iCs/>
        </w:rPr>
        <w:t>Economics of Education Review, 75</w:t>
      </w:r>
      <w:r w:rsidRPr="002725FE">
        <w:t>, 101972.</w:t>
      </w:r>
    </w:p>
    <w:p w14:paraId="3581DC34" w14:textId="77777777" w:rsidR="002725FE" w:rsidRPr="002725FE" w:rsidRDefault="002725FE" w:rsidP="00AB2541">
      <w:pPr>
        <w:ind w:left="720" w:hanging="720"/>
        <w:jc w:val="left"/>
      </w:pPr>
      <w:r w:rsidRPr="002725FE">
        <w:t xml:space="preserve">Brunner, E. J., Dougherty, S. M., &amp; Ross, S. L. (2021). The effects of career and technical education: Evidence from the Connecticut Technical High School System. </w:t>
      </w:r>
      <w:r w:rsidRPr="002725FE">
        <w:rPr>
          <w:i/>
          <w:iCs/>
        </w:rPr>
        <w:t>The Review of Economics and Statistics</w:t>
      </w:r>
      <w:r w:rsidRPr="002725FE">
        <w:t>, 1–46.</w:t>
      </w:r>
    </w:p>
    <w:p w14:paraId="51E986EA" w14:textId="77777777" w:rsidR="002725FE" w:rsidRPr="002725FE" w:rsidRDefault="002725FE" w:rsidP="00AB2541">
      <w:pPr>
        <w:ind w:left="720" w:hanging="720"/>
        <w:jc w:val="left"/>
      </w:pPr>
      <w:r w:rsidRPr="002725FE">
        <w:t xml:space="preserve">Carsten, J. M., &amp; Spector, P. E. (1987). Unemployment, job satisfaction, and employee turnover: A meta-analytic test of the </w:t>
      </w:r>
      <w:proofErr w:type="spellStart"/>
      <w:r w:rsidRPr="002725FE">
        <w:t>Muchinsky</w:t>
      </w:r>
      <w:proofErr w:type="spellEnd"/>
      <w:r w:rsidRPr="002725FE">
        <w:t xml:space="preserve"> model. </w:t>
      </w:r>
      <w:r w:rsidRPr="002725FE">
        <w:rPr>
          <w:i/>
          <w:iCs/>
        </w:rPr>
        <w:t>Journal of Applied Psychology, 72</w:t>
      </w:r>
      <w:r w:rsidRPr="002725FE">
        <w:t>(3), 374.</w:t>
      </w:r>
    </w:p>
    <w:p w14:paraId="06E9988D" w14:textId="77777777" w:rsidR="002725FE" w:rsidRPr="002725FE" w:rsidRDefault="002725FE" w:rsidP="00AB2541">
      <w:pPr>
        <w:ind w:left="720" w:hanging="720"/>
        <w:jc w:val="left"/>
      </w:pPr>
      <w:proofErr w:type="spellStart"/>
      <w:r w:rsidRPr="002725FE">
        <w:t>Chingos</w:t>
      </w:r>
      <w:proofErr w:type="spellEnd"/>
      <w:r w:rsidRPr="002725FE">
        <w:t xml:space="preserve">, M. M., &amp; West, M. R. (2012). </w:t>
      </w:r>
      <w:proofErr w:type="gramStart"/>
      <w:r w:rsidRPr="002725FE">
        <w:t>Do</w:t>
      </w:r>
      <w:proofErr w:type="gramEnd"/>
      <w:r w:rsidRPr="002725FE">
        <w:t xml:space="preserve"> more effective teachers earn more outside the classroom? </w:t>
      </w:r>
      <w:r w:rsidRPr="002725FE">
        <w:rPr>
          <w:i/>
          <w:iCs/>
        </w:rPr>
        <w:t>Education Finance and Policy, 7</w:t>
      </w:r>
      <w:r w:rsidRPr="002725FE">
        <w:t xml:space="preserve">(1), 8–43. </w:t>
      </w:r>
      <w:hyperlink r:id="rId9" w:tgtFrame="_new" w:history="1">
        <w:r w:rsidRPr="002725FE">
          <w:rPr>
            <w:rStyle w:val="Hyperlink"/>
          </w:rPr>
          <w:t>https://doi.org/10.1162/EDFP_a_00052</w:t>
        </w:r>
      </w:hyperlink>
    </w:p>
    <w:p w14:paraId="4A8E0F05" w14:textId="77777777" w:rsidR="002725FE" w:rsidRPr="002725FE" w:rsidRDefault="002725FE" w:rsidP="00AB2541">
      <w:pPr>
        <w:ind w:left="720" w:hanging="720"/>
        <w:jc w:val="left"/>
      </w:pPr>
      <w:r w:rsidRPr="002725FE">
        <w:t xml:space="preserve">Clark, M. S., Kelsey, K. D., &amp; Brown, N. R. (2014). The thornless rose: A phenomenological look at decisions career teachers make to remain in the profession. </w:t>
      </w:r>
      <w:r w:rsidRPr="002725FE">
        <w:rPr>
          <w:i/>
          <w:iCs/>
        </w:rPr>
        <w:t>Journal of Agricultural Education, 55</w:t>
      </w:r>
      <w:r w:rsidRPr="002725FE">
        <w:t>(3), 43–56.</w:t>
      </w:r>
    </w:p>
    <w:p w14:paraId="46E31CB1" w14:textId="77777777" w:rsidR="002725FE" w:rsidRPr="002725FE" w:rsidRDefault="002725FE" w:rsidP="00AB2541">
      <w:pPr>
        <w:ind w:left="720" w:hanging="720"/>
        <w:jc w:val="left"/>
      </w:pPr>
      <w:r w:rsidRPr="002725FE">
        <w:t xml:space="preserve">Devier, B. H. (2019). Teacher shortage and alternative licensure solutions for technical educators. </w:t>
      </w:r>
      <w:r w:rsidRPr="002725FE">
        <w:rPr>
          <w:i/>
          <w:iCs/>
        </w:rPr>
        <w:t>The Journal of Technology Studies, 45</w:t>
      </w:r>
      <w:r w:rsidRPr="002725FE">
        <w:t>(2), 48–59.</w:t>
      </w:r>
    </w:p>
    <w:p w14:paraId="11D07F08" w14:textId="77777777" w:rsidR="002725FE" w:rsidRPr="002725FE" w:rsidRDefault="002725FE" w:rsidP="00AB2541">
      <w:pPr>
        <w:ind w:left="720" w:hanging="720"/>
        <w:jc w:val="left"/>
      </w:pPr>
      <w:r w:rsidRPr="002725FE">
        <w:t xml:space="preserve">Dougherty, S. M. (2016). </w:t>
      </w:r>
      <w:r w:rsidRPr="002725FE">
        <w:rPr>
          <w:i/>
          <w:iCs/>
        </w:rPr>
        <w:t>Career and technical education in high school: Does it improve student outcomes?</w:t>
      </w:r>
      <w:r w:rsidRPr="002725FE">
        <w:t xml:space="preserve"> Thomas B. Fordham Institute.</w:t>
      </w:r>
    </w:p>
    <w:p w14:paraId="06A60963" w14:textId="77777777" w:rsidR="002725FE" w:rsidRPr="002725FE" w:rsidRDefault="002725FE" w:rsidP="00AB2541">
      <w:pPr>
        <w:ind w:left="720" w:hanging="720"/>
        <w:jc w:val="left"/>
      </w:pPr>
      <w:r w:rsidRPr="002725FE">
        <w:t xml:space="preserve">Dougherty, S. M. (2018). The effect of career and technical education on human capital accumulation: Causal evidence from Massachusetts. </w:t>
      </w:r>
      <w:r w:rsidRPr="002725FE">
        <w:rPr>
          <w:i/>
          <w:iCs/>
        </w:rPr>
        <w:t>Education Finance and Policy</w:t>
      </w:r>
      <w:r w:rsidRPr="002725FE">
        <w:t>, 1–52.</w:t>
      </w:r>
    </w:p>
    <w:p w14:paraId="2AC2C646" w14:textId="77777777" w:rsidR="002725FE" w:rsidRPr="002725FE" w:rsidRDefault="002725FE" w:rsidP="00AB2541">
      <w:pPr>
        <w:ind w:left="720" w:hanging="720"/>
        <w:jc w:val="left"/>
      </w:pPr>
      <w:r w:rsidRPr="002725FE">
        <w:t xml:space="preserve">Dougherty, S. M., &amp; Harbaugh Macdonald, I. (2020). Can growth in the availability of STEM technical education improve equality in participation? Evidence from Massachusetts. </w:t>
      </w:r>
      <w:r w:rsidRPr="002725FE">
        <w:rPr>
          <w:i/>
          <w:iCs/>
        </w:rPr>
        <w:t>Journal of Vocational Education &amp; Training, 72</w:t>
      </w:r>
      <w:r w:rsidRPr="002725FE">
        <w:t>(1), 47–70.</w:t>
      </w:r>
    </w:p>
    <w:p w14:paraId="0D3D44D3" w14:textId="77777777" w:rsidR="002725FE" w:rsidRPr="002725FE" w:rsidRDefault="002725FE" w:rsidP="00AB2541">
      <w:pPr>
        <w:ind w:left="720" w:hanging="720"/>
        <w:jc w:val="left"/>
      </w:pPr>
      <w:r w:rsidRPr="002725FE">
        <w:t xml:space="preserve">Goldhaber, D., &amp; Theobald, R. (2022). Teacher attrition and mobility over time. </w:t>
      </w:r>
      <w:r w:rsidRPr="002725FE">
        <w:rPr>
          <w:i/>
          <w:iCs/>
        </w:rPr>
        <w:t>Educational Researcher, 51</w:t>
      </w:r>
      <w:r w:rsidRPr="002725FE">
        <w:t xml:space="preserve">(3), 235–237. </w:t>
      </w:r>
      <w:hyperlink r:id="rId10" w:tgtFrame="_new" w:history="1">
        <w:r w:rsidRPr="002725FE">
          <w:rPr>
            <w:rStyle w:val="Hyperlink"/>
          </w:rPr>
          <w:t>https://doi.org/10.3102/0013189X211060840</w:t>
        </w:r>
      </w:hyperlink>
    </w:p>
    <w:p w14:paraId="0285FA85" w14:textId="77777777" w:rsidR="002725FE" w:rsidRPr="002725FE" w:rsidRDefault="002725FE" w:rsidP="00AB2541">
      <w:pPr>
        <w:ind w:left="720" w:hanging="720"/>
        <w:jc w:val="left"/>
      </w:pPr>
      <w:r w:rsidRPr="002725FE">
        <w:t xml:space="preserve">Gray, L., &amp; Lewis, L. (2018). </w:t>
      </w:r>
      <w:r w:rsidRPr="002725FE">
        <w:rPr>
          <w:i/>
          <w:iCs/>
        </w:rPr>
        <w:t>Career and technical education programs in public school districts: 2016–17: First look</w:t>
      </w:r>
      <w:r w:rsidRPr="002725FE">
        <w:t xml:space="preserve"> (NCES 2018-028). U.S. Department of Education, Institute of Education Sciences, National Center for Education Statistics.</w:t>
      </w:r>
      <w:r w:rsidRPr="002725FE">
        <w:br/>
      </w:r>
      <w:hyperlink r:id="rId11" w:tgtFrame="_new" w:history="1">
        <w:r w:rsidRPr="002725FE">
          <w:rPr>
            <w:rStyle w:val="Hyperlink"/>
          </w:rPr>
          <w:t>https://nces.ed.gov/pubs2018/2018028.pdf</w:t>
        </w:r>
      </w:hyperlink>
    </w:p>
    <w:p w14:paraId="68E865B4" w14:textId="77777777" w:rsidR="002725FE" w:rsidRPr="002725FE" w:rsidRDefault="002725FE" w:rsidP="00AB2541">
      <w:pPr>
        <w:ind w:left="720" w:hanging="720"/>
        <w:jc w:val="left"/>
      </w:pPr>
      <w:r w:rsidRPr="002725FE">
        <w:t xml:space="preserve">Harbatkin, E., Nguyen, T. D., Strunk, K. O., Burns, J., &amp; Moran, A. J. (2025). Should I stay or should I go (later)? Teacher intentions and turnover in low-performing schools and districts before and during the COVID-19 pandemic. </w:t>
      </w:r>
      <w:r w:rsidRPr="002725FE">
        <w:rPr>
          <w:i/>
          <w:iCs/>
        </w:rPr>
        <w:t>Education Finance and Policy</w:t>
      </w:r>
      <w:r w:rsidRPr="002725FE">
        <w:t>, 1–38.</w:t>
      </w:r>
    </w:p>
    <w:p w14:paraId="36929CBC" w14:textId="77777777" w:rsidR="002725FE" w:rsidRPr="002725FE" w:rsidRDefault="002725FE" w:rsidP="00AB2541">
      <w:pPr>
        <w:ind w:left="720" w:hanging="720"/>
        <w:jc w:val="left"/>
      </w:pPr>
      <w:r w:rsidRPr="002725FE">
        <w:lastRenderedPageBreak/>
        <w:t xml:space="preserve">Hemelt, S. W., Lenard, M. A., &amp; </w:t>
      </w:r>
      <w:proofErr w:type="spellStart"/>
      <w:r w:rsidRPr="002725FE">
        <w:t>Paeplow</w:t>
      </w:r>
      <w:proofErr w:type="spellEnd"/>
      <w:r w:rsidRPr="002725FE">
        <w:t xml:space="preserve">, C. G. (2019). Building bridges to life after high school: Contemporary career academies and student outcomes. </w:t>
      </w:r>
      <w:r w:rsidRPr="002725FE">
        <w:rPr>
          <w:i/>
          <w:iCs/>
        </w:rPr>
        <w:t>Economics of Education Review, 68</w:t>
      </w:r>
      <w:r w:rsidRPr="002725FE">
        <w:t>, 161–178.</w:t>
      </w:r>
    </w:p>
    <w:p w14:paraId="3193A9D2" w14:textId="77777777" w:rsidR="002725FE" w:rsidRPr="002725FE" w:rsidRDefault="002725FE" w:rsidP="00AB2541">
      <w:pPr>
        <w:ind w:left="720" w:hanging="720"/>
        <w:jc w:val="left"/>
      </w:pPr>
      <w:r w:rsidRPr="002725FE">
        <w:t xml:space="preserve">Jacob, B. A., &amp; Ricks, M. D. (2023). </w:t>
      </w:r>
      <w:r w:rsidRPr="002725FE">
        <w:rPr>
          <w:i/>
          <w:iCs/>
        </w:rPr>
        <w:t xml:space="preserve">Why </w:t>
      </w:r>
      <w:proofErr w:type="gramStart"/>
      <w:r w:rsidRPr="002725FE">
        <w:rPr>
          <w:i/>
          <w:iCs/>
        </w:rPr>
        <w:t>choose</w:t>
      </w:r>
      <w:proofErr w:type="gramEnd"/>
      <w:r w:rsidRPr="002725FE">
        <w:rPr>
          <w:i/>
          <w:iCs/>
        </w:rPr>
        <w:t xml:space="preserve"> career technical education? Disentangling student preferences from program availability</w:t>
      </w:r>
      <w:r w:rsidRPr="002725FE">
        <w:t xml:space="preserve"> (NBER Working Paper No. 31756). National Bureau of Economic Research.</w:t>
      </w:r>
    </w:p>
    <w:p w14:paraId="08E6A8BF" w14:textId="77777777" w:rsidR="002725FE" w:rsidRPr="002725FE" w:rsidRDefault="002725FE" w:rsidP="00AB2541">
      <w:pPr>
        <w:ind w:left="720" w:hanging="720"/>
        <w:jc w:val="left"/>
      </w:pPr>
      <w:r w:rsidRPr="002725FE">
        <w:t xml:space="preserve">Kistler, H., Dougherty, S. M., &amp; Woods, S. C. (2024). Teacher exit and educational opportunity: Lessons from career and technical education. </w:t>
      </w:r>
      <w:r w:rsidRPr="002725FE">
        <w:rPr>
          <w:i/>
          <w:iCs/>
        </w:rPr>
        <w:t>Educational Researcher, 53</w:t>
      </w:r>
      <w:r w:rsidRPr="002725FE">
        <w:t>(3), 156–166.</w:t>
      </w:r>
    </w:p>
    <w:p w14:paraId="13E4577E" w14:textId="77777777" w:rsidR="002725FE" w:rsidRPr="002725FE" w:rsidRDefault="002725FE" w:rsidP="00AB2541">
      <w:pPr>
        <w:ind w:left="720" w:hanging="720"/>
        <w:jc w:val="left"/>
      </w:pPr>
      <w:r w:rsidRPr="002725FE">
        <w:t xml:space="preserve">Mobley, W. H., Griffeth, R. W., Hand, H. H., &amp; </w:t>
      </w:r>
      <w:proofErr w:type="spellStart"/>
      <w:r w:rsidRPr="002725FE">
        <w:t>Meglino</w:t>
      </w:r>
      <w:proofErr w:type="spellEnd"/>
      <w:r w:rsidRPr="002725FE">
        <w:t xml:space="preserve">, B. M. (1979). Review and conceptual analysis of the employee turnover process. </w:t>
      </w:r>
      <w:r w:rsidRPr="002725FE">
        <w:rPr>
          <w:i/>
          <w:iCs/>
        </w:rPr>
        <w:t>Psychological Bulletin, 86</w:t>
      </w:r>
      <w:r w:rsidRPr="002725FE">
        <w:t>(3), 493.</w:t>
      </w:r>
    </w:p>
    <w:p w14:paraId="39FD47C7" w14:textId="77777777" w:rsidR="002725FE" w:rsidRPr="002725FE" w:rsidRDefault="002725FE" w:rsidP="00AB2541">
      <w:pPr>
        <w:ind w:left="720" w:hanging="720"/>
        <w:jc w:val="left"/>
      </w:pPr>
      <w:r w:rsidRPr="002725FE">
        <w:t xml:space="preserve">Morris, H. J. (2006). </w:t>
      </w:r>
      <w:r w:rsidRPr="002725FE">
        <w:rPr>
          <w:i/>
          <w:iCs/>
        </w:rPr>
        <w:t>An analysis of retention factors that influence Georgia's secondary career and technical education teachers to remain in the teaching profession</w:t>
      </w:r>
      <w:r w:rsidRPr="002725FE">
        <w:t>. Georgia Southern University.</w:t>
      </w:r>
    </w:p>
    <w:p w14:paraId="44B77050" w14:textId="77777777" w:rsidR="002725FE" w:rsidRPr="002725FE" w:rsidRDefault="002725FE" w:rsidP="00AB2541">
      <w:pPr>
        <w:ind w:left="720" w:hanging="720"/>
        <w:jc w:val="left"/>
      </w:pPr>
      <w:r w:rsidRPr="002725FE">
        <w:t xml:space="preserve">Nagler, M., </w:t>
      </w:r>
      <w:proofErr w:type="spellStart"/>
      <w:r w:rsidRPr="002725FE">
        <w:t>Piopiunik</w:t>
      </w:r>
      <w:proofErr w:type="spellEnd"/>
      <w:r w:rsidRPr="002725FE">
        <w:t xml:space="preserve">, M., &amp; West, M. R. (2020). Weak markets, strong teachers: Recession at career start and teacher effectiveness. </w:t>
      </w:r>
      <w:r w:rsidRPr="002725FE">
        <w:rPr>
          <w:i/>
          <w:iCs/>
        </w:rPr>
        <w:t>Journal of Labor Economics, 38</w:t>
      </w:r>
      <w:r w:rsidRPr="002725FE">
        <w:t>(2), 453–500.</w:t>
      </w:r>
    </w:p>
    <w:p w14:paraId="4C5C90CB" w14:textId="77777777" w:rsidR="002725FE" w:rsidRPr="002725FE" w:rsidRDefault="002725FE" w:rsidP="00AB2541">
      <w:pPr>
        <w:ind w:left="720" w:hanging="720"/>
        <w:jc w:val="left"/>
      </w:pPr>
      <w:r w:rsidRPr="002725FE">
        <w:t xml:space="preserve">Park, K. A., &amp; Johnson, K. R. (2019). Job satisfaction, work engagement, and turnover intention of CTE health science teachers. </w:t>
      </w:r>
      <w:r w:rsidRPr="002725FE">
        <w:rPr>
          <w:i/>
          <w:iCs/>
        </w:rPr>
        <w:t>International Journal for Research in Vocational Education and Training, 6</w:t>
      </w:r>
      <w:r w:rsidRPr="002725FE">
        <w:t>(3), 224–242.</w:t>
      </w:r>
    </w:p>
    <w:p w14:paraId="162B8C86" w14:textId="77777777" w:rsidR="002725FE" w:rsidRPr="002725FE" w:rsidRDefault="002725FE" w:rsidP="00AB2541">
      <w:pPr>
        <w:ind w:left="720" w:hanging="720"/>
        <w:jc w:val="left"/>
      </w:pPr>
      <w:r w:rsidRPr="002725FE">
        <w:t xml:space="preserve">Plasman, J. S., Gottfried, M., &amp; Sublett, C. (2017). Are there academic CTE cluster pipelines? Linking high school CTE </w:t>
      </w:r>
      <w:proofErr w:type="spellStart"/>
      <w:r w:rsidRPr="002725FE">
        <w:t>coursetaking</w:t>
      </w:r>
      <w:proofErr w:type="spellEnd"/>
      <w:r w:rsidRPr="002725FE">
        <w:t xml:space="preserve"> and postsecondary credentials. </w:t>
      </w:r>
      <w:r w:rsidRPr="002725FE">
        <w:rPr>
          <w:i/>
          <w:iCs/>
        </w:rPr>
        <w:t>Career and Technical Education Research, 42</w:t>
      </w:r>
      <w:r w:rsidRPr="002725FE">
        <w:t>(3), 219–242.</w:t>
      </w:r>
    </w:p>
    <w:p w14:paraId="1FBA9CD1" w14:textId="77777777" w:rsidR="002725FE" w:rsidRPr="002725FE" w:rsidRDefault="002725FE" w:rsidP="00AB2541">
      <w:pPr>
        <w:ind w:left="720" w:hanging="720"/>
        <w:jc w:val="left"/>
      </w:pPr>
      <w:r w:rsidRPr="002725FE">
        <w:t xml:space="preserve">Podgursky, M., Monroe, R., &amp; Watson, D. (2004). The academic quality of </w:t>
      </w:r>
      <w:proofErr w:type="gramStart"/>
      <w:r w:rsidRPr="002725FE">
        <w:t>public school</w:t>
      </w:r>
      <w:proofErr w:type="gramEnd"/>
      <w:r w:rsidRPr="002725FE">
        <w:t xml:space="preserve"> teachers: An analysis of entry and exit behavior. </w:t>
      </w:r>
      <w:r w:rsidRPr="002725FE">
        <w:rPr>
          <w:i/>
          <w:iCs/>
        </w:rPr>
        <w:t>Economics of Education Review, 23</w:t>
      </w:r>
      <w:r w:rsidRPr="002725FE">
        <w:t>(5), 507–518.</w:t>
      </w:r>
    </w:p>
    <w:p w14:paraId="551EB0E0" w14:textId="77777777" w:rsidR="002725FE" w:rsidRPr="002725FE" w:rsidRDefault="002725FE" w:rsidP="00AB2541">
      <w:pPr>
        <w:ind w:left="720" w:hanging="720"/>
        <w:jc w:val="left"/>
      </w:pPr>
      <w:r w:rsidRPr="002725FE">
        <w:t xml:space="preserve">Roy, A. D. (1951). Some thoughts on the distribution of earnings. </w:t>
      </w:r>
      <w:r w:rsidRPr="002725FE">
        <w:rPr>
          <w:i/>
          <w:iCs/>
        </w:rPr>
        <w:t>Oxford Economic Papers, 3</w:t>
      </w:r>
      <w:r w:rsidRPr="002725FE">
        <w:t>(2), 135–146.</w:t>
      </w:r>
    </w:p>
    <w:p w14:paraId="15746EFF" w14:textId="77777777" w:rsidR="002725FE" w:rsidRPr="002725FE" w:rsidRDefault="002725FE" w:rsidP="00AB2541">
      <w:pPr>
        <w:ind w:left="720" w:hanging="720"/>
        <w:jc w:val="left"/>
      </w:pPr>
      <w:r w:rsidRPr="002725FE">
        <w:t xml:space="preserve">U.S. Department of Education, Office of Postsecondary Education. (2025). </w:t>
      </w:r>
      <w:r w:rsidRPr="002725FE">
        <w:rPr>
          <w:i/>
          <w:iCs/>
        </w:rPr>
        <w:t>Nationwide teacher shortage areas listing (1990–1991 through 2024–25)</w:t>
      </w:r>
      <w:r w:rsidRPr="002725FE">
        <w:t xml:space="preserve"> [Data tool].</w:t>
      </w:r>
      <w:r w:rsidRPr="002725FE">
        <w:br/>
      </w:r>
      <w:hyperlink r:id="rId12" w:anchor="/reports" w:tgtFrame="_new" w:history="1">
        <w:r w:rsidRPr="002725FE">
          <w:rPr>
            <w:rStyle w:val="Hyperlink"/>
          </w:rPr>
          <w:t>https://tsa.ed.gov/#/reports</w:t>
        </w:r>
      </w:hyperlink>
    </w:p>
    <w:p w14:paraId="591A2613" w14:textId="77777777" w:rsidR="0051202B" w:rsidRPr="00C356AE" w:rsidRDefault="0051202B" w:rsidP="0051202B">
      <w:pPr>
        <w:ind w:left="720" w:hanging="720"/>
      </w:pPr>
    </w:p>
    <w:p w14:paraId="5B3397AB" w14:textId="77777777" w:rsidR="0051202B" w:rsidRPr="00C356AE" w:rsidRDefault="0051202B" w:rsidP="0051202B">
      <w:pPr>
        <w:ind w:left="720" w:hanging="720"/>
      </w:pPr>
    </w:p>
    <w:p w14:paraId="654E631F" w14:textId="77777777" w:rsidR="0051202B" w:rsidRPr="00C356AE" w:rsidRDefault="0051202B" w:rsidP="0051202B">
      <w:pPr>
        <w:ind w:left="720" w:hanging="720"/>
      </w:pPr>
    </w:p>
    <w:p w14:paraId="6AD7DC13" w14:textId="77777777" w:rsidR="00410608" w:rsidRPr="00C356AE" w:rsidRDefault="00410608" w:rsidP="00410608">
      <w:pPr>
        <w:widowControl w:val="0"/>
        <w:jc w:val="left"/>
      </w:pPr>
    </w:p>
    <w:p w14:paraId="6788312D" w14:textId="77777777" w:rsidR="00336E16" w:rsidRPr="00C356AE" w:rsidRDefault="00336E16">
      <w:pPr>
        <w:rPr>
          <w:b/>
        </w:rPr>
      </w:pPr>
      <w:r w:rsidRPr="00C356AE">
        <w:rPr>
          <w:b/>
        </w:rPr>
        <w:br w:type="page"/>
      </w:r>
    </w:p>
    <w:p w14:paraId="6ED385A1" w14:textId="3B49FBB3" w:rsidR="00F7450D" w:rsidRPr="00C356AE" w:rsidRDefault="00336E16" w:rsidP="00336E16">
      <w:pPr>
        <w:jc w:val="center"/>
      </w:pPr>
      <w:r w:rsidRPr="00C356AE">
        <w:rPr>
          <w:b/>
        </w:rPr>
        <w:lastRenderedPageBreak/>
        <w:t>Appendix B - Tables and Figures</w:t>
      </w:r>
    </w:p>
    <w:p w14:paraId="4F07433D" w14:textId="1BFE9244" w:rsidR="0039197C" w:rsidRPr="0039197C" w:rsidRDefault="0039197C" w:rsidP="0039197C">
      <w:pPr>
        <w:spacing w:after="160"/>
        <w:ind w:firstLine="0"/>
        <w:jc w:val="left"/>
        <w:rPr>
          <w:rFonts w:eastAsia="Aptos"/>
          <w:b/>
          <w:bCs/>
          <w:kern w:val="2"/>
          <w14:ligatures w14:val="standardContextual"/>
        </w:rPr>
      </w:pPr>
      <w:r w:rsidRPr="0039197C">
        <w:rPr>
          <w:rFonts w:eastAsia="Aptos"/>
          <w:b/>
          <w:bCs/>
          <w:kern w:val="2"/>
          <w14:ligatures w14:val="standardContextual"/>
        </w:rPr>
        <w:t xml:space="preserve">Table </w:t>
      </w:r>
      <w:r w:rsidR="008F5C99" w:rsidRPr="00C356AE">
        <w:rPr>
          <w:rFonts w:eastAsia="Aptos"/>
          <w:b/>
          <w:bCs/>
          <w:kern w:val="2"/>
          <w14:ligatures w14:val="standardContextual"/>
        </w:rPr>
        <w:t>1</w:t>
      </w:r>
      <w:r w:rsidRPr="0039197C">
        <w:rPr>
          <w:rFonts w:eastAsia="Aptos"/>
          <w:b/>
          <w:bCs/>
          <w:kern w:val="2"/>
          <w14:ligatures w14:val="standardContextual"/>
        </w:rPr>
        <w:t>. Descriptive Table of Economic Predictors by Teacher Retention and Exit</w:t>
      </w:r>
    </w:p>
    <w:tbl>
      <w:tblPr>
        <w:tblStyle w:val="TableGrid2"/>
        <w:tblW w:w="0" w:type="auto"/>
        <w:tblLook w:val="04A0" w:firstRow="1" w:lastRow="0" w:firstColumn="1" w:lastColumn="0" w:noHBand="0" w:noVBand="1"/>
      </w:tblPr>
      <w:tblGrid>
        <w:gridCol w:w="1870"/>
        <w:gridCol w:w="1870"/>
        <w:gridCol w:w="1870"/>
        <w:gridCol w:w="1870"/>
        <w:gridCol w:w="1870"/>
      </w:tblGrid>
      <w:tr w:rsidR="0039197C" w:rsidRPr="0039197C" w14:paraId="631B4B61" w14:textId="77777777" w:rsidTr="00D14AD2">
        <w:tc>
          <w:tcPr>
            <w:tcW w:w="1870" w:type="dxa"/>
            <w:tcBorders>
              <w:top w:val="single" w:sz="4" w:space="0" w:color="auto"/>
              <w:left w:val="nil"/>
              <w:bottom w:val="single" w:sz="4" w:space="0" w:color="auto"/>
              <w:right w:val="nil"/>
            </w:tcBorders>
          </w:tcPr>
          <w:p w14:paraId="64AB6183" w14:textId="77777777" w:rsidR="0039197C" w:rsidRPr="0039197C" w:rsidRDefault="0039197C" w:rsidP="0039197C">
            <w:pPr>
              <w:rPr>
                <w:rFonts w:eastAsia="Aptos"/>
              </w:rPr>
            </w:pPr>
          </w:p>
        </w:tc>
        <w:tc>
          <w:tcPr>
            <w:tcW w:w="1870" w:type="dxa"/>
            <w:tcBorders>
              <w:top w:val="single" w:sz="4" w:space="0" w:color="auto"/>
              <w:left w:val="nil"/>
              <w:bottom w:val="single" w:sz="4" w:space="0" w:color="auto"/>
              <w:right w:val="nil"/>
            </w:tcBorders>
          </w:tcPr>
          <w:p w14:paraId="1DC8BD14" w14:textId="77777777" w:rsidR="0039197C" w:rsidRPr="0039197C" w:rsidRDefault="0039197C" w:rsidP="0039197C">
            <w:pPr>
              <w:jc w:val="center"/>
              <w:rPr>
                <w:rFonts w:eastAsia="Aptos"/>
              </w:rPr>
            </w:pPr>
            <w:r w:rsidRPr="0039197C">
              <w:rPr>
                <w:rFonts w:eastAsia="Aptos"/>
              </w:rPr>
              <w:t>Overall</w:t>
            </w:r>
          </w:p>
        </w:tc>
        <w:tc>
          <w:tcPr>
            <w:tcW w:w="1870" w:type="dxa"/>
            <w:tcBorders>
              <w:top w:val="single" w:sz="4" w:space="0" w:color="auto"/>
              <w:left w:val="nil"/>
              <w:bottom w:val="single" w:sz="4" w:space="0" w:color="auto"/>
              <w:right w:val="nil"/>
            </w:tcBorders>
          </w:tcPr>
          <w:p w14:paraId="390A5D9E" w14:textId="77777777" w:rsidR="0039197C" w:rsidRPr="0039197C" w:rsidRDefault="0039197C" w:rsidP="0039197C">
            <w:pPr>
              <w:jc w:val="center"/>
              <w:rPr>
                <w:rFonts w:eastAsia="Aptos"/>
              </w:rPr>
            </w:pPr>
            <w:r w:rsidRPr="0039197C">
              <w:rPr>
                <w:rFonts w:eastAsia="Aptos"/>
              </w:rPr>
              <w:t>Stayers</w:t>
            </w:r>
          </w:p>
        </w:tc>
        <w:tc>
          <w:tcPr>
            <w:tcW w:w="1870" w:type="dxa"/>
            <w:tcBorders>
              <w:top w:val="single" w:sz="4" w:space="0" w:color="auto"/>
              <w:left w:val="nil"/>
              <w:bottom w:val="single" w:sz="4" w:space="0" w:color="auto"/>
              <w:right w:val="nil"/>
            </w:tcBorders>
          </w:tcPr>
          <w:p w14:paraId="5DB63676" w14:textId="77777777" w:rsidR="0039197C" w:rsidRPr="0039197C" w:rsidRDefault="0039197C" w:rsidP="0039197C">
            <w:pPr>
              <w:rPr>
                <w:rFonts w:eastAsia="Aptos"/>
              </w:rPr>
            </w:pPr>
            <w:r w:rsidRPr="0039197C">
              <w:rPr>
                <w:rFonts w:eastAsia="Aptos"/>
              </w:rPr>
              <w:t>District Leavers</w:t>
            </w:r>
          </w:p>
        </w:tc>
        <w:tc>
          <w:tcPr>
            <w:tcW w:w="1870" w:type="dxa"/>
            <w:tcBorders>
              <w:top w:val="single" w:sz="4" w:space="0" w:color="auto"/>
              <w:left w:val="nil"/>
              <w:bottom w:val="single" w:sz="4" w:space="0" w:color="auto"/>
              <w:right w:val="nil"/>
            </w:tcBorders>
          </w:tcPr>
          <w:p w14:paraId="32543252" w14:textId="77777777" w:rsidR="0039197C" w:rsidRPr="0039197C" w:rsidRDefault="0039197C" w:rsidP="0039197C">
            <w:pPr>
              <w:jc w:val="center"/>
              <w:rPr>
                <w:rFonts w:eastAsia="Aptos"/>
              </w:rPr>
            </w:pPr>
            <w:r w:rsidRPr="0039197C">
              <w:rPr>
                <w:rFonts w:eastAsia="Aptos"/>
              </w:rPr>
              <w:t>Left Teaching</w:t>
            </w:r>
          </w:p>
        </w:tc>
      </w:tr>
      <w:tr w:rsidR="0039197C" w:rsidRPr="0039197C" w14:paraId="1953BC1E" w14:textId="77777777" w:rsidTr="00D14AD2">
        <w:tc>
          <w:tcPr>
            <w:tcW w:w="1870" w:type="dxa"/>
            <w:tcBorders>
              <w:top w:val="single" w:sz="4" w:space="0" w:color="auto"/>
              <w:left w:val="nil"/>
              <w:bottom w:val="nil"/>
              <w:right w:val="nil"/>
            </w:tcBorders>
          </w:tcPr>
          <w:p w14:paraId="2927AF0B" w14:textId="77777777" w:rsidR="0039197C" w:rsidRPr="0039197C" w:rsidRDefault="0039197C" w:rsidP="0039197C">
            <w:pPr>
              <w:rPr>
                <w:rFonts w:eastAsia="Aptos"/>
                <w:b/>
                <w:bCs/>
              </w:rPr>
            </w:pPr>
            <w:r w:rsidRPr="0039197C">
              <w:rPr>
                <w:rFonts w:eastAsia="Aptos"/>
                <w:b/>
                <w:bCs/>
              </w:rPr>
              <w:t xml:space="preserve">Predictors </w:t>
            </w:r>
          </w:p>
        </w:tc>
        <w:tc>
          <w:tcPr>
            <w:tcW w:w="1870" w:type="dxa"/>
            <w:tcBorders>
              <w:top w:val="single" w:sz="4" w:space="0" w:color="auto"/>
              <w:left w:val="nil"/>
              <w:bottom w:val="nil"/>
              <w:right w:val="nil"/>
            </w:tcBorders>
          </w:tcPr>
          <w:p w14:paraId="7272F490" w14:textId="77777777" w:rsidR="0039197C" w:rsidRPr="0039197C" w:rsidRDefault="0039197C" w:rsidP="0039197C">
            <w:pPr>
              <w:rPr>
                <w:rFonts w:eastAsia="Aptos"/>
              </w:rPr>
            </w:pPr>
          </w:p>
        </w:tc>
        <w:tc>
          <w:tcPr>
            <w:tcW w:w="1870" w:type="dxa"/>
            <w:tcBorders>
              <w:top w:val="single" w:sz="4" w:space="0" w:color="auto"/>
              <w:left w:val="nil"/>
              <w:bottom w:val="nil"/>
              <w:right w:val="nil"/>
            </w:tcBorders>
          </w:tcPr>
          <w:p w14:paraId="3F1D21A9" w14:textId="77777777" w:rsidR="0039197C" w:rsidRPr="0039197C" w:rsidRDefault="0039197C" w:rsidP="0039197C">
            <w:pPr>
              <w:rPr>
                <w:rFonts w:eastAsia="Aptos"/>
              </w:rPr>
            </w:pPr>
          </w:p>
        </w:tc>
        <w:tc>
          <w:tcPr>
            <w:tcW w:w="1870" w:type="dxa"/>
            <w:tcBorders>
              <w:top w:val="single" w:sz="4" w:space="0" w:color="auto"/>
              <w:left w:val="nil"/>
              <w:bottom w:val="nil"/>
              <w:right w:val="nil"/>
            </w:tcBorders>
          </w:tcPr>
          <w:p w14:paraId="5BA13938" w14:textId="77777777" w:rsidR="0039197C" w:rsidRPr="0039197C" w:rsidRDefault="0039197C" w:rsidP="0039197C">
            <w:pPr>
              <w:rPr>
                <w:rFonts w:eastAsia="Aptos"/>
              </w:rPr>
            </w:pPr>
          </w:p>
        </w:tc>
        <w:tc>
          <w:tcPr>
            <w:tcW w:w="1870" w:type="dxa"/>
            <w:tcBorders>
              <w:top w:val="single" w:sz="4" w:space="0" w:color="auto"/>
              <w:left w:val="nil"/>
              <w:bottom w:val="nil"/>
              <w:right w:val="nil"/>
            </w:tcBorders>
          </w:tcPr>
          <w:p w14:paraId="531CF79A" w14:textId="77777777" w:rsidR="0039197C" w:rsidRPr="0039197C" w:rsidRDefault="0039197C" w:rsidP="0039197C">
            <w:pPr>
              <w:rPr>
                <w:rFonts w:eastAsia="Aptos"/>
              </w:rPr>
            </w:pPr>
          </w:p>
        </w:tc>
      </w:tr>
      <w:tr w:rsidR="0039197C" w:rsidRPr="0039197C" w14:paraId="17F98EBB" w14:textId="77777777" w:rsidTr="00D14AD2">
        <w:tc>
          <w:tcPr>
            <w:tcW w:w="1870" w:type="dxa"/>
            <w:tcBorders>
              <w:top w:val="nil"/>
              <w:left w:val="nil"/>
              <w:bottom w:val="nil"/>
              <w:right w:val="nil"/>
            </w:tcBorders>
          </w:tcPr>
          <w:p w14:paraId="3C649753" w14:textId="77777777" w:rsidR="0039197C" w:rsidRPr="0039197C" w:rsidRDefault="0039197C" w:rsidP="0039197C">
            <w:pPr>
              <w:rPr>
                <w:rFonts w:eastAsia="Aptos"/>
              </w:rPr>
            </w:pPr>
            <w:r w:rsidRPr="0039197C">
              <w:rPr>
                <w:rFonts w:eastAsia="Aptos"/>
              </w:rPr>
              <w:t>Unemployment Rates (%)</w:t>
            </w:r>
          </w:p>
        </w:tc>
        <w:tc>
          <w:tcPr>
            <w:tcW w:w="1870" w:type="dxa"/>
            <w:tcBorders>
              <w:top w:val="nil"/>
              <w:left w:val="nil"/>
              <w:bottom w:val="nil"/>
              <w:right w:val="nil"/>
            </w:tcBorders>
          </w:tcPr>
          <w:p w14:paraId="7A0E2F7A" w14:textId="77777777" w:rsidR="0039197C" w:rsidRPr="0039197C" w:rsidRDefault="0039197C" w:rsidP="0039197C">
            <w:pPr>
              <w:jc w:val="center"/>
              <w:rPr>
                <w:rFonts w:eastAsia="Aptos"/>
              </w:rPr>
            </w:pPr>
            <w:r w:rsidRPr="0039197C">
              <w:rPr>
                <w:rFonts w:eastAsia="Aptos"/>
              </w:rPr>
              <w:t>5.1</w:t>
            </w:r>
          </w:p>
          <w:p w14:paraId="0D4063D8" w14:textId="77777777" w:rsidR="0039197C" w:rsidRPr="0039197C" w:rsidRDefault="0039197C" w:rsidP="0039197C">
            <w:pPr>
              <w:jc w:val="center"/>
              <w:rPr>
                <w:rFonts w:eastAsia="Aptos"/>
              </w:rPr>
            </w:pPr>
            <w:r w:rsidRPr="0039197C">
              <w:rPr>
                <w:rFonts w:eastAsia="Aptos"/>
              </w:rPr>
              <w:t>(3.3)</w:t>
            </w:r>
          </w:p>
        </w:tc>
        <w:tc>
          <w:tcPr>
            <w:tcW w:w="1870" w:type="dxa"/>
            <w:tcBorders>
              <w:top w:val="nil"/>
              <w:left w:val="nil"/>
              <w:bottom w:val="nil"/>
              <w:right w:val="nil"/>
            </w:tcBorders>
          </w:tcPr>
          <w:p w14:paraId="7A430725" w14:textId="77777777" w:rsidR="0039197C" w:rsidRPr="0039197C" w:rsidRDefault="0039197C" w:rsidP="0039197C">
            <w:pPr>
              <w:jc w:val="center"/>
              <w:rPr>
                <w:rFonts w:eastAsia="Aptos"/>
              </w:rPr>
            </w:pPr>
            <w:r w:rsidRPr="0039197C">
              <w:rPr>
                <w:rFonts w:eastAsia="Aptos"/>
              </w:rPr>
              <w:t>5.1</w:t>
            </w:r>
          </w:p>
          <w:p w14:paraId="787600B0" w14:textId="77777777" w:rsidR="0039197C" w:rsidRPr="0039197C" w:rsidRDefault="0039197C" w:rsidP="0039197C">
            <w:pPr>
              <w:jc w:val="center"/>
              <w:rPr>
                <w:rFonts w:eastAsia="Aptos"/>
              </w:rPr>
            </w:pPr>
            <w:r w:rsidRPr="0039197C">
              <w:rPr>
                <w:rFonts w:eastAsia="Aptos"/>
              </w:rPr>
              <w:t>(3.3)</w:t>
            </w:r>
          </w:p>
        </w:tc>
        <w:tc>
          <w:tcPr>
            <w:tcW w:w="1870" w:type="dxa"/>
            <w:tcBorders>
              <w:top w:val="nil"/>
              <w:left w:val="nil"/>
              <w:bottom w:val="nil"/>
              <w:right w:val="nil"/>
            </w:tcBorders>
          </w:tcPr>
          <w:p w14:paraId="62054FA7" w14:textId="77777777" w:rsidR="0039197C" w:rsidRPr="0039197C" w:rsidRDefault="0039197C" w:rsidP="0039197C">
            <w:pPr>
              <w:jc w:val="center"/>
              <w:rPr>
                <w:rFonts w:eastAsia="Aptos"/>
              </w:rPr>
            </w:pPr>
            <w:r w:rsidRPr="0039197C">
              <w:rPr>
                <w:rFonts w:eastAsia="Aptos"/>
              </w:rPr>
              <w:t>4.9</w:t>
            </w:r>
          </w:p>
          <w:p w14:paraId="00CDB348" w14:textId="77777777" w:rsidR="0039197C" w:rsidRPr="0039197C" w:rsidRDefault="0039197C" w:rsidP="0039197C">
            <w:pPr>
              <w:jc w:val="center"/>
              <w:rPr>
                <w:rFonts w:eastAsia="Aptos"/>
              </w:rPr>
            </w:pPr>
            <w:r w:rsidRPr="0039197C">
              <w:rPr>
                <w:rFonts w:eastAsia="Aptos"/>
              </w:rPr>
              <w:t>(3.4)</w:t>
            </w:r>
          </w:p>
        </w:tc>
        <w:tc>
          <w:tcPr>
            <w:tcW w:w="1870" w:type="dxa"/>
            <w:tcBorders>
              <w:top w:val="nil"/>
              <w:left w:val="nil"/>
              <w:bottom w:val="nil"/>
              <w:right w:val="nil"/>
            </w:tcBorders>
          </w:tcPr>
          <w:p w14:paraId="6E637D10" w14:textId="77777777" w:rsidR="0039197C" w:rsidRPr="0039197C" w:rsidRDefault="0039197C" w:rsidP="0039197C">
            <w:pPr>
              <w:jc w:val="center"/>
              <w:rPr>
                <w:rFonts w:eastAsia="Aptos"/>
              </w:rPr>
            </w:pPr>
            <w:r w:rsidRPr="0039197C">
              <w:rPr>
                <w:rFonts w:eastAsia="Aptos"/>
              </w:rPr>
              <w:t>4.9</w:t>
            </w:r>
          </w:p>
          <w:p w14:paraId="79C1B995" w14:textId="77777777" w:rsidR="0039197C" w:rsidRPr="0039197C" w:rsidRDefault="0039197C" w:rsidP="0039197C">
            <w:pPr>
              <w:jc w:val="center"/>
              <w:rPr>
                <w:rFonts w:eastAsia="Aptos"/>
              </w:rPr>
            </w:pPr>
            <w:r w:rsidRPr="0039197C">
              <w:rPr>
                <w:rFonts w:eastAsia="Aptos"/>
              </w:rPr>
              <w:t>(3.5)</w:t>
            </w:r>
          </w:p>
        </w:tc>
      </w:tr>
      <w:tr w:rsidR="0039197C" w:rsidRPr="0039197C" w14:paraId="071D229F" w14:textId="77777777" w:rsidTr="00D14AD2">
        <w:tc>
          <w:tcPr>
            <w:tcW w:w="1870" w:type="dxa"/>
            <w:tcBorders>
              <w:top w:val="nil"/>
              <w:left w:val="nil"/>
              <w:bottom w:val="nil"/>
              <w:right w:val="nil"/>
            </w:tcBorders>
          </w:tcPr>
          <w:p w14:paraId="5BE54A50" w14:textId="77777777" w:rsidR="0039197C" w:rsidRPr="0039197C" w:rsidRDefault="0039197C" w:rsidP="0039197C">
            <w:pPr>
              <w:rPr>
                <w:rFonts w:eastAsia="Aptos"/>
                <w:i/>
                <w:iCs/>
              </w:rPr>
            </w:pPr>
            <w:r w:rsidRPr="0039197C">
              <w:rPr>
                <w:rFonts w:eastAsia="Aptos"/>
                <w:i/>
                <w:iCs/>
              </w:rPr>
              <w:t>GDP Growth – All Clusters (%)</w:t>
            </w:r>
          </w:p>
        </w:tc>
        <w:tc>
          <w:tcPr>
            <w:tcW w:w="1870" w:type="dxa"/>
            <w:tcBorders>
              <w:top w:val="nil"/>
              <w:left w:val="nil"/>
              <w:bottom w:val="nil"/>
              <w:right w:val="nil"/>
            </w:tcBorders>
          </w:tcPr>
          <w:p w14:paraId="0660C99D" w14:textId="77777777" w:rsidR="0039197C" w:rsidRPr="0039197C" w:rsidRDefault="0039197C" w:rsidP="0039197C">
            <w:pPr>
              <w:jc w:val="center"/>
              <w:rPr>
                <w:rFonts w:eastAsia="Aptos"/>
              </w:rPr>
            </w:pPr>
            <w:r w:rsidRPr="0039197C">
              <w:rPr>
                <w:rFonts w:eastAsia="Aptos"/>
              </w:rPr>
              <w:t>9.6</w:t>
            </w:r>
          </w:p>
          <w:p w14:paraId="4A234AC0" w14:textId="77777777" w:rsidR="0039197C" w:rsidRPr="0039197C" w:rsidRDefault="0039197C" w:rsidP="0039197C">
            <w:pPr>
              <w:jc w:val="center"/>
              <w:rPr>
                <w:rFonts w:eastAsia="Aptos"/>
              </w:rPr>
            </w:pPr>
            <w:r w:rsidRPr="0039197C">
              <w:rPr>
                <w:rFonts w:eastAsia="Aptos"/>
              </w:rPr>
              <w:t xml:space="preserve"> (19.2)</w:t>
            </w:r>
          </w:p>
        </w:tc>
        <w:tc>
          <w:tcPr>
            <w:tcW w:w="1870" w:type="dxa"/>
            <w:tcBorders>
              <w:top w:val="nil"/>
              <w:left w:val="nil"/>
              <w:bottom w:val="nil"/>
              <w:right w:val="nil"/>
            </w:tcBorders>
          </w:tcPr>
          <w:p w14:paraId="46F782DD" w14:textId="77777777" w:rsidR="0039197C" w:rsidRPr="0039197C" w:rsidRDefault="0039197C" w:rsidP="0039197C">
            <w:pPr>
              <w:jc w:val="center"/>
              <w:rPr>
                <w:rFonts w:eastAsia="Aptos"/>
              </w:rPr>
            </w:pPr>
            <w:r w:rsidRPr="0039197C">
              <w:rPr>
                <w:rFonts w:eastAsia="Aptos"/>
              </w:rPr>
              <w:t xml:space="preserve">9.5  </w:t>
            </w:r>
          </w:p>
          <w:p w14:paraId="20642D55" w14:textId="77777777" w:rsidR="0039197C" w:rsidRPr="0039197C" w:rsidRDefault="0039197C" w:rsidP="0039197C">
            <w:pPr>
              <w:jc w:val="center"/>
              <w:rPr>
                <w:rFonts w:eastAsia="Aptos"/>
              </w:rPr>
            </w:pPr>
            <w:r w:rsidRPr="0039197C">
              <w:rPr>
                <w:rFonts w:eastAsia="Aptos"/>
              </w:rPr>
              <w:t>(19.5)</w:t>
            </w:r>
          </w:p>
        </w:tc>
        <w:tc>
          <w:tcPr>
            <w:tcW w:w="1870" w:type="dxa"/>
            <w:tcBorders>
              <w:top w:val="nil"/>
              <w:left w:val="nil"/>
              <w:bottom w:val="nil"/>
              <w:right w:val="nil"/>
            </w:tcBorders>
          </w:tcPr>
          <w:p w14:paraId="3E2BCF93" w14:textId="77777777" w:rsidR="0039197C" w:rsidRPr="0039197C" w:rsidRDefault="0039197C" w:rsidP="0039197C">
            <w:pPr>
              <w:jc w:val="center"/>
              <w:rPr>
                <w:rFonts w:eastAsia="Aptos"/>
              </w:rPr>
            </w:pPr>
            <w:r w:rsidRPr="0039197C">
              <w:rPr>
                <w:rFonts w:eastAsia="Aptos"/>
              </w:rPr>
              <w:t>10.4</w:t>
            </w:r>
          </w:p>
          <w:p w14:paraId="31C70EFF" w14:textId="77777777" w:rsidR="0039197C" w:rsidRPr="0039197C" w:rsidRDefault="0039197C" w:rsidP="0039197C">
            <w:pPr>
              <w:jc w:val="center"/>
              <w:rPr>
                <w:rFonts w:eastAsia="Aptos"/>
              </w:rPr>
            </w:pPr>
            <w:r w:rsidRPr="0039197C">
              <w:rPr>
                <w:rFonts w:eastAsia="Aptos"/>
              </w:rPr>
              <w:t>(15.6)</w:t>
            </w:r>
          </w:p>
        </w:tc>
        <w:tc>
          <w:tcPr>
            <w:tcW w:w="1870" w:type="dxa"/>
            <w:tcBorders>
              <w:top w:val="nil"/>
              <w:left w:val="nil"/>
              <w:bottom w:val="nil"/>
              <w:right w:val="nil"/>
            </w:tcBorders>
          </w:tcPr>
          <w:p w14:paraId="3C972940" w14:textId="77777777" w:rsidR="0039197C" w:rsidRPr="0039197C" w:rsidRDefault="0039197C" w:rsidP="0039197C">
            <w:pPr>
              <w:jc w:val="center"/>
              <w:rPr>
                <w:rFonts w:eastAsia="Aptos"/>
              </w:rPr>
            </w:pPr>
            <w:r w:rsidRPr="0039197C">
              <w:rPr>
                <w:rFonts w:eastAsia="Aptos"/>
              </w:rPr>
              <w:t>10.9</w:t>
            </w:r>
          </w:p>
          <w:p w14:paraId="0E164336" w14:textId="77777777" w:rsidR="0039197C" w:rsidRPr="0039197C" w:rsidRDefault="0039197C" w:rsidP="0039197C">
            <w:pPr>
              <w:jc w:val="center"/>
              <w:rPr>
                <w:rFonts w:eastAsia="Aptos"/>
              </w:rPr>
            </w:pPr>
            <w:r w:rsidRPr="0039197C">
              <w:rPr>
                <w:rFonts w:eastAsia="Aptos"/>
              </w:rPr>
              <w:t>(15.6)</w:t>
            </w:r>
          </w:p>
        </w:tc>
      </w:tr>
      <w:tr w:rsidR="0039197C" w:rsidRPr="0039197C" w14:paraId="679A7DB9" w14:textId="77777777" w:rsidTr="00D14AD2">
        <w:tc>
          <w:tcPr>
            <w:tcW w:w="1870" w:type="dxa"/>
            <w:tcBorders>
              <w:top w:val="nil"/>
              <w:left w:val="nil"/>
              <w:bottom w:val="nil"/>
              <w:right w:val="nil"/>
            </w:tcBorders>
          </w:tcPr>
          <w:p w14:paraId="03C5E37D" w14:textId="77777777" w:rsidR="0039197C" w:rsidRPr="0039197C" w:rsidRDefault="0039197C" w:rsidP="0039197C">
            <w:pPr>
              <w:jc w:val="right"/>
              <w:rPr>
                <w:rFonts w:eastAsia="Aptos"/>
              </w:rPr>
            </w:pPr>
            <w:r w:rsidRPr="0039197C">
              <w:rPr>
                <w:rFonts w:eastAsia="Aptos"/>
              </w:rPr>
              <w:t>Information Technology (%)</w:t>
            </w:r>
          </w:p>
        </w:tc>
        <w:tc>
          <w:tcPr>
            <w:tcW w:w="1870" w:type="dxa"/>
            <w:tcBorders>
              <w:top w:val="nil"/>
              <w:left w:val="nil"/>
              <w:bottom w:val="nil"/>
              <w:right w:val="nil"/>
            </w:tcBorders>
          </w:tcPr>
          <w:p w14:paraId="59B4EEF3" w14:textId="77777777" w:rsidR="0039197C" w:rsidRPr="0039197C" w:rsidRDefault="0039197C" w:rsidP="0039197C">
            <w:pPr>
              <w:jc w:val="center"/>
              <w:rPr>
                <w:rFonts w:eastAsia="Aptos"/>
              </w:rPr>
            </w:pPr>
            <w:r w:rsidRPr="0039197C">
              <w:rPr>
                <w:rFonts w:eastAsia="Aptos"/>
              </w:rPr>
              <w:t>6.4</w:t>
            </w:r>
          </w:p>
          <w:p w14:paraId="0D3FD77E" w14:textId="77777777" w:rsidR="0039197C" w:rsidRPr="0039197C" w:rsidRDefault="0039197C" w:rsidP="0039197C">
            <w:pPr>
              <w:jc w:val="center"/>
              <w:rPr>
                <w:rFonts w:eastAsia="Aptos"/>
              </w:rPr>
            </w:pPr>
            <w:r w:rsidRPr="0039197C">
              <w:rPr>
                <w:rFonts w:eastAsia="Aptos"/>
              </w:rPr>
              <w:t>(10.6)</w:t>
            </w:r>
          </w:p>
        </w:tc>
        <w:tc>
          <w:tcPr>
            <w:tcW w:w="1870" w:type="dxa"/>
            <w:tcBorders>
              <w:top w:val="nil"/>
              <w:left w:val="nil"/>
              <w:bottom w:val="nil"/>
              <w:right w:val="nil"/>
            </w:tcBorders>
          </w:tcPr>
          <w:p w14:paraId="653AAFDF" w14:textId="77777777" w:rsidR="0039197C" w:rsidRPr="0039197C" w:rsidRDefault="0039197C" w:rsidP="0039197C">
            <w:pPr>
              <w:jc w:val="center"/>
              <w:rPr>
                <w:rFonts w:eastAsia="Aptos"/>
              </w:rPr>
            </w:pPr>
            <w:r w:rsidRPr="0039197C">
              <w:rPr>
                <w:rFonts w:eastAsia="Aptos"/>
              </w:rPr>
              <w:t>6.3</w:t>
            </w:r>
          </w:p>
          <w:p w14:paraId="1779F992" w14:textId="77777777" w:rsidR="0039197C" w:rsidRPr="0039197C" w:rsidRDefault="0039197C" w:rsidP="0039197C">
            <w:pPr>
              <w:jc w:val="center"/>
              <w:rPr>
                <w:rFonts w:eastAsia="Aptos"/>
              </w:rPr>
            </w:pPr>
            <w:r w:rsidRPr="0039197C">
              <w:rPr>
                <w:rFonts w:eastAsia="Aptos"/>
              </w:rPr>
              <w:t>(10.3)</w:t>
            </w:r>
          </w:p>
        </w:tc>
        <w:tc>
          <w:tcPr>
            <w:tcW w:w="1870" w:type="dxa"/>
            <w:tcBorders>
              <w:top w:val="nil"/>
              <w:left w:val="nil"/>
              <w:bottom w:val="nil"/>
              <w:right w:val="nil"/>
            </w:tcBorders>
          </w:tcPr>
          <w:p w14:paraId="3D681DAC" w14:textId="77777777" w:rsidR="0039197C" w:rsidRPr="0039197C" w:rsidRDefault="0039197C" w:rsidP="0039197C">
            <w:pPr>
              <w:jc w:val="center"/>
              <w:rPr>
                <w:rFonts w:eastAsia="Aptos"/>
              </w:rPr>
            </w:pPr>
            <w:r w:rsidRPr="0039197C">
              <w:rPr>
                <w:rFonts w:eastAsia="Aptos"/>
              </w:rPr>
              <w:t xml:space="preserve">7.23  </w:t>
            </w:r>
          </w:p>
          <w:p w14:paraId="5E471BD6" w14:textId="77777777" w:rsidR="0039197C" w:rsidRPr="0039197C" w:rsidRDefault="0039197C" w:rsidP="0039197C">
            <w:pPr>
              <w:jc w:val="center"/>
              <w:rPr>
                <w:rFonts w:eastAsia="Aptos"/>
              </w:rPr>
            </w:pPr>
            <w:r w:rsidRPr="0039197C">
              <w:rPr>
                <w:rFonts w:eastAsia="Aptos"/>
              </w:rPr>
              <w:t xml:space="preserve"> (14.2)</w:t>
            </w:r>
          </w:p>
        </w:tc>
        <w:tc>
          <w:tcPr>
            <w:tcW w:w="1870" w:type="dxa"/>
            <w:tcBorders>
              <w:top w:val="nil"/>
              <w:left w:val="nil"/>
              <w:bottom w:val="nil"/>
              <w:right w:val="nil"/>
            </w:tcBorders>
          </w:tcPr>
          <w:p w14:paraId="6903BE1A" w14:textId="77777777" w:rsidR="0039197C" w:rsidRPr="0039197C" w:rsidRDefault="0039197C" w:rsidP="0039197C">
            <w:pPr>
              <w:jc w:val="center"/>
              <w:rPr>
                <w:rFonts w:eastAsia="Aptos"/>
              </w:rPr>
            </w:pPr>
            <w:r w:rsidRPr="0039197C">
              <w:rPr>
                <w:rFonts w:eastAsia="Aptos"/>
              </w:rPr>
              <w:t>8.1</w:t>
            </w:r>
          </w:p>
          <w:p w14:paraId="4FA0D1B9" w14:textId="77777777" w:rsidR="0039197C" w:rsidRPr="0039197C" w:rsidRDefault="0039197C" w:rsidP="0039197C">
            <w:pPr>
              <w:jc w:val="center"/>
              <w:rPr>
                <w:rFonts w:eastAsia="Aptos"/>
              </w:rPr>
            </w:pPr>
            <w:r w:rsidRPr="0039197C">
              <w:rPr>
                <w:rFonts w:eastAsia="Aptos"/>
              </w:rPr>
              <w:t>(15.3)</w:t>
            </w:r>
          </w:p>
        </w:tc>
      </w:tr>
      <w:tr w:rsidR="0039197C" w:rsidRPr="0039197C" w14:paraId="602D38C8" w14:textId="77777777" w:rsidTr="00D14AD2">
        <w:tc>
          <w:tcPr>
            <w:tcW w:w="1870" w:type="dxa"/>
            <w:tcBorders>
              <w:top w:val="nil"/>
              <w:left w:val="nil"/>
              <w:bottom w:val="nil"/>
              <w:right w:val="nil"/>
            </w:tcBorders>
          </w:tcPr>
          <w:p w14:paraId="2CD6020B" w14:textId="77777777" w:rsidR="0039197C" w:rsidRPr="0039197C" w:rsidRDefault="0039197C" w:rsidP="0039197C">
            <w:pPr>
              <w:jc w:val="right"/>
              <w:rPr>
                <w:rFonts w:eastAsia="Aptos"/>
              </w:rPr>
            </w:pPr>
            <w:r w:rsidRPr="0039197C">
              <w:rPr>
                <w:rFonts w:eastAsia="Aptos"/>
              </w:rPr>
              <w:t xml:space="preserve">Engineering (%) </w:t>
            </w:r>
          </w:p>
        </w:tc>
        <w:tc>
          <w:tcPr>
            <w:tcW w:w="1870" w:type="dxa"/>
            <w:tcBorders>
              <w:top w:val="nil"/>
              <w:left w:val="nil"/>
              <w:bottom w:val="nil"/>
              <w:right w:val="nil"/>
            </w:tcBorders>
          </w:tcPr>
          <w:p w14:paraId="29191FB0" w14:textId="77777777" w:rsidR="0039197C" w:rsidRPr="0039197C" w:rsidRDefault="0039197C" w:rsidP="0039197C">
            <w:pPr>
              <w:jc w:val="center"/>
              <w:rPr>
                <w:rFonts w:eastAsia="Aptos"/>
              </w:rPr>
            </w:pPr>
            <w:r w:rsidRPr="0039197C">
              <w:rPr>
                <w:rFonts w:eastAsia="Aptos"/>
              </w:rPr>
              <w:t>11.6</w:t>
            </w:r>
          </w:p>
          <w:p w14:paraId="43E1658D" w14:textId="77777777" w:rsidR="0039197C" w:rsidRPr="0039197C" w:rsidRDefault="0039197C" w:rsidP="0039197C">
            <w:pPr>
              <w:jc w:val="center"/>
              <w:rPr>
                <w:rFonts w:eastAsia="Aptos"/>
              </w:rPr>
            </w:pPr>
            <w:r w:rsidRPr="0039197C">
              <w:rPr>
                <w:rFonts w:eastAsia="Aptos"/>
              </w:rPr>
              <w:t>(7.5)</w:t>
            </w:r>
          </w:p>
        </w:tc>
        <w:tc>
          <w:tcPr>
            <w:tcW w:w="1870" w:type="dxa"/>
            <w:tcBorders>
              <w:top w:val="nil"/>
              <w:left w:val="nil"/>
              <w:bottom w:val="nil"/>
              <w:right w:val="nil"/>
            </w:tcBorders>
          </w:tcPr>
          <w:p w14:paraId="3901980E" w14:textId="77777777" w:rsidR="0039197C" w:rsidRPr="0039197C" w:rsidRDefault="0039197C" w:rsidP="0039197C">
            <w:pPr>
              <w:jc w:val="center"/>
              <w:rPr>
                <w:rFonts w:eastAsia="Aptos"/>
              </w:rPr>
            </w:pPr>
            <w:r w:rsidRPr="0039197C">
              <w:rPr>
                <w:rFonts w:eastAsia="Aptos"/>
              </w:rPr>
              <w:t>11.6</w:t>
            </w:r>
          </w:p>
          <w:p w14:paraId="0D333605" w14:textId="77777777" w:rsidR="0039197C" w:rsidRPr="0039197C" w:rsidRDefault="0039197C" w:rsidP="0039197C">
            <w:pPr>
              <w:jc w:val="center"/>
              <w:rPr>
                <w:rFonts w:eastAsia="Aptos"/>
              </w:rPr>
            </w:pPr>
            <w:r w:rsidRPr="0039197C">
              <w:rPr>
                <w:rFonts w:eastAsia="Aptos"/>
              </w:rPr>
              <w:t>(7.5)</w:t>
            </w:r>
          </w:p>
        </w:tc>
        <w:tc>
          <w:tcPr>
            <w:tcW w:w="1870" w:type="dxa"/>
            <w:tcBorders>
              <w:top w:val="nil"/>
              <w:left w:val="nil"/>
              <w:bottom w:val="nil"/>
              <w:right w:val="nil"/>
            </w:tcBorders>
          </w:tcPr>
          <w:p w14:paraId="00AC04A2" w14:textId="77777777" w:rsidR="0039197C" w:rsidRPr="0039197C" w:rsidRDefault="0039197C" w:rsidP="0039197C">
            <w:pPr>
              <w:jc w:val="center"/>
              <w:rPr>
                <w:rFonts w:eastAsia="Aptos"/>
              </w:rPr>
            </w:pPr>
            <w:r w:rsidRPr="0039197C">
              <w:rPr>
                <w:rFonts w:eastAsia="Aptos"/>
              </w:rPr>
              <w:t xml:space="preserve">11.9   </w:t>
            </w:r>
          </w:p>
          <w:p w14:paraId="623A71C6" w14:textId="77777777" w:rsidR="0039197C" w:rsidRPr="0039197C" w:rsidRDefault="0039197C" w:rsidP="0039197C">
            <w:pPr>
              <w:jc w:val="center"/>
              <w:rPr>
                <w:rFonts w:eastAsia="Aptos"/>
              </w:rPr>
            </w:pPr>
            <w:r w:rsidRPr="0039197C">
              <w:rPr>
                <w:rFonts w:eastAsia="Aptos"/>
              </w:rPr>
              <w:t>(6.9)</w:t>
            </w:r>
          </w:p>
        </w:tc>
        <w:tc>
          <w:tcPr>
            <w:tcW w:w="1870" w:type="dxa"/>
            <w:tcBorders>
              <w:top w:val="nil"/>
              <w:left w:val="nil"/>
              <w:bottom w:val="nil"/>
              <w:right w:val="nil"/>
            </w:tcBorders>
          </w:tcPr>
          <w:p w14:paraId="772B983D" w14:textId="77777777" w:rsidR="0039197C" w:rsidRPr="0039197C" w:rsidRDefault="0039197C" w:rsidP="0039197C">
            <w:pPr>
              <w:jc w:val="center"/>
              <w:rPr>
                <w:rFonts w:eastAsia="Aptos"/>
              </w:rPr>
            </w:pPr>
            <w:r w:rsidRPr="0039197C">
              <w:rPr>
                <w:rFonts w:eastAsia="Aptos"/>
              </w:rPr>
              <w:t>11.8</w:t>
            </w:r>
          </w:p>
          <w:p w14:paraId="5E7C4343" w14:textId="77777777" w:rsidR="0039197C" w:rsidRPr="0039197C" w:rsidRDefault="0039197C" w:rsidP="0039197C">
            <w:pPr>
              <w:jc w:val="center"/>
              <w:rPr>
                <w:rFonts w:eastAsia="Aptos"/>
              </w:rPr>
            </w:pPr>
            <w:r w:rsidRPr="0039197C">
              <w:rPr>
                <w:rFonts w:eastAsia="Aptos"/>
              </w:rPr>
              <w:t xml:space="preserve"> (6.7)</w:t>
            </w:r>
          </w:p>
        </w:tc>
      </w:tr>
      <w:tr w:rsidR="0039197C" w:rsidRPr="0039197C" w14:paraId="2FE456C9" w14:textId="77777777" w:rsidTr="00D14AD2">
        <w:tc>
          <w:tcPr>
            <w:tcW w:w="1870" w:type="dxa"/>
            <w:tcBorders>
              <w:top w:val="nil"/>
              <w:left w:val="nil"/>
              <w:bottom w:val="nil"/>
              <w:right w:val="nil"/>
            </w:tcBorders>
          </w:tcPr>
          <w:p w14:paraId="41E82985" w14:textId="77777777" w:rsidR="0039197C" w:rsidRPr="0039197C" w:rsidRDefault="0039197C" w:rsidP="0039197C">
            <w:pPr>
              <w:jc w:val="right"/>
              <w:rPr>
                <w:rFonts w:eastAsia="Aptos"/>
              </w:rPr>
            </w:pPr>
            <w:r w:rsidRPr="0039197C">
              <w:rPr>
                <w:rFonts w:eastAsia="Aptos"/>
              </w:rPr>
              <w:t xml:space="preserve">Architecture &amp; Construction (%) </w:t>
            </w:r>
          </w:p>
        </w:tc>
        <w:tc>
          <w:tcPr>
            <w:tcW w:w="1870" w:type="dxa"/>
            <w:tcBorders>
              <w:top w:val="nil"/>
              <w:left w:val="nil"/>
              <w:bottom w:val="nil"/>
              <w:right w:val="nil"/>
            </w:tcBorders>
          </w:tcPr>
          <w:p w14:paraId="028DBD7E" w14:textId="77777777" w:rsidR="0039197C" w:rsidRPr="0039197C" w:rsidRDefault="0039197C" w:rsidP="0039197C">
            <w:pPr>
              <w:jc w:val="center"/>
              <w:rPr>
                <w:rFonts w:eastAsia="Aptos"/>
              </w:rPr>
            </w:pPr>
            <w:r w:rsidRPr="0039197C">
              <w:rPr>
                <w:rFonts w:eastAsia="Aptos"/>
              </w:rPr>
              <w:t>9.5</w:t>
            </w:r>
          </w:p>
          <w:p w14:paraId="12AB4D03" w14:textId="77777777" w:rsidR="0039197C" w:rsidRPr="0039197C" w:rsidRDefault="0039197C" w:rsidP="0039197C">
            <w:pPr>
              <w:jc w:val="center"/>
              <w:rPr>
                <w:rFonts w:eastAsia="Aptos"/>
              </w:rPr>
            </w:pPr>
            <w:r w:rsidRPr="0039197C">
              <w:rPr>
                <w:rFonts w:eastAsia="Aptos"/>
              </w:rPr>
              <w:t>(8.3)</w:t>
            </w:r>
          </w:p>
        </w:tc>
        <w:tc>
          <w:tcPr>
            <w:tcW w:w="1870" w:type="dxa"/>
            <w:tcBorders>
              <w:top w:val="nil"/>
              <w:left w:val="nil"/>
              <w:bottom w:val="nil"/>
              <w:right w:val="nil"/>
            </w:tcBorders>
          </w:tcPr>
          <w:p w14:paraId="50B63572" w14:textId="77777777" w:rsidR="0039197C" w:rsidRPr="0039197C" w:rsidRDefault="0039197C" w:rsidP="0039197C">
            <w:pPr>
              <w:jc w:val="center"/>
              <w:rPr>
                <w:rFonts w:eastAsia="Aptos"/>
              </w:rPr>
            </w:pPr>
            <w:r w:rsidRPr="0039197C">
              <w:rPr>
                <w:rFonts w:eastAsia="Aptos"/>
              </w:rPr>
              <w:t>9.3</w:t>
            </w:r>
          </w:p>
          <w:p w14:paraId="792D4096" w14:textId="77777777" w:rsidR="0039197C" w:rsidRPr="0039197C" w:rsidRDefault="0039197C" w:rsidP="0039197C">
            <w:pPr>
              <w:jc w:val="center"/>
              <w:rPr>
                <w:rFonts w:eastAsia="Aptos"/>
              </w:rPr>
            </w:pPr>
            <w:r w:rsidRPr="0039197C">
              <w:rPr>
                <w:rFonts w:eastAsia="Aptos"/>
              </w:rPr>
              <w:t>(8.3)</w:t>
            </w:r>
          </w:p>
        </w:tc>
        <w:tc>
          <w:tcPr>
            <w:tcW w:w="1870" w:type="dxa"/>
            <w:tcBorders>
              <w:top w:val="nil"/>
              <w:left w:val="nil"/>
              <w:bottom w:val="nil"/>
              <w:right w:val="nil"/>
            </w:tcBorders>
          </w:tcPr>
          <w:p w14:paraId="5813A317" w14:textId="77777777" w:rsidR="0039197C" w:rsidRPr="0039197C" w:rsidRDefault="0039197C" w:rsidP="0039197C">
            <w:pPr>
              <w:jc w:val="center"/>
              <w:rPr>
                <w:rFonts w:eastAsia="Aptos"/>
              </w:rPr>
            </w:pPr>
            <w:r w:rsidRPr="0039197C">
              <w:rPr>
                <w:rFonts w:eastAsia="Aptos"/>
              </w:rPr>
              <w:t>11.8</w:t>
            </w:r>
          </w:p>
          <w:p w14:paraId="04649914" w14:textId="77777777" w:rsidR="0039197C" w:rsidRPr="0039197C" w:rsidRDefault="0039197C" w:rsidP="0039197C">
            <w:pPr>
              <w:jc w:val="center"/>
              <w:rPr>
                <w:rFonts w:eastAsia="Aptos"/>
              </w:rPr>
            </w:pPr>
            <w:r w:rsidRPr="0039197C">
              <w:rPr>
                <w:rFonts w:eastAsia="Aptos"/>
              </w:rPr>
              <w:t>(8.3)</w:t>
            </w:r>
          </w:p>
        </w:tc>
        <w:tc>
          <w:tcPr>
            <w:tcW w:w="1870" w:type="dxa"/>
            <w:tcBorders>
              <w:top w:val="nil"/>
              <w:left w:val="nil"/>
              <w:bottom w:val="nil"/>
              <w:right w:val="nil"/>
            </w:tcBorders>
          </w:tcPr>
          <w:p w14:paraId="22514113" w14:textId="77777777" w:rsidR="0039197C" w:rsidRPr="0039197C" w:rsidRDefault="0039197C" w:rsidP="0039197C">
            <w:pPr>
              <w:jc w:val="center"/>
              <w:rPr>
                <w:rFonts w:eastAsia="Aptos"/>
              </w:rPr>
            </w:pPr>
            <w:r w:rsidRPr="0039197C">
              <w:rPr>
                <w:rFonts w:eastAsia="Aptos"/>
              </w:rPr>
              <w:t>11.4</w:t>
            </w:r>
          </w:p>
          <w:p w14:paraId="223A4135" w14:textId="77777777" w:rsidR="0039197C" w:rsidRPr="0039197C" w:rsidRDefault="0039197C" w:rsidP="0039197C">
            <w:pPr>
              <w:jc w:val="center"/>
              <w:rPr>
                <w:rFonts w:eastAsia="Aptos"/>
              </w:rPr>
            </w:pPr>
            <w:r w:rsidRPr="0039197C">
              <w:rPr>
                <w:rFonts w:eastAsia="Aptos"/>
              </w:rPr>
              <w:t>(6.7)</w:t>
            </w:r>
          </w:p>
        </w:tc>
      </w:tr>
      <w:tr w:rsidR="0039197C" w:rsidRPr="0039197C" w14:paraId="27B8A0D2" w14:textId="77777777" w:rsidTr="00D14AD2">
        <w:tc>
          <w:tcPr>
            <w:tcW w:w="1870" w:type="dxa"/>
            <w:tcBorders>
              <w:top w:val="nil"/>
              <w:left w:val="nil"/>
              <w:bottom w:val="nil"/>
              <w:right w:val="nil"/>
            </w:tcBorders>
          </w:tcPr>
          <w:p w14:paraId="65E23043" w14:textId="77777777" w:rsidR="0039197C" w:rsidRPr="0039197C" w:rsidRDefault="0039197C" w:rsidP="0039197C">
            <w:pPr>
              <w:rPr>
                <w:rFonts w:eastAsia="Aptos"/>
                <w:i/>
                <w:iCs/>
              </w:rPr>
            </w:pPr>
            <w:r w:rsidRPr="0039197C">
              <w:rPr>
                <w:rFonts w:eastAsia="Aptos"/>
                <w:i/>
                <w:iCs/>
              </w:rPr>
              <w:t xml:space="preserve">Firm Job Gains – All Clusters </w:t>
            </w:r>
          </w:p>
        </w:tc>
        <w:tc>
          <w:tcPr>
            <w:tcW w:w="1870" w:type="dxa"/>
            <w:tcBorders>
              <w:top w:val="nil"/>
              <w:left w:val="nil"/>
              <w:bottom w:val="nil"/>
              <w:right w:val="nil"/>
            </w:tcBorders>
          </w:tcPr>
          <w:p w14:paraId="316272FA" w14:textId="77777777" w:rsidR="0039197C" w:rsidRPr="0039197C" w:rsidRDefault="0039197C" w:rsidP="0039197C">
            <w:pPr>
              <w:jc w:val="center"/>
              <w:rPr>
                <w:rFonts w:eastAsia="Aptos"/>
              </w:rPr>
            </w:pPr>
            <w:r w:rsidRPr="0039197C">
              <w:rPr>
                <w:rFonts w:eastAsia="Aptos"/>
              </w:rPr>
              <w:t>2895.1</w:t>
            </w:r>
          </w:p>
          <w:p w14:paraId="28E1A53B" w14:textId="77777777" w:rsidR="0039197C" w:rsidRPr="0039197C" w:rsidRDefault="0039197C" w:rsidP="0039197C">
            <w:pPr>
              <w:jc w:val="center"/>
              <w:rPr>
                <w:rFonts w:eastAsia="Aptos"/>
              </w:rPr>
            </w:pPr>
            <w:r w:rsidRPr="0039197C">
              <w:rPr>
                <w:rFonts w:eastAsia="Aptos"/>
              </w:rPr>
              <w:t>(3879.2)</w:t>
            </w:r>
          </w:p>
        </w:tc>
        <w:tc>
          <w:tcPr>
            <w:tcW w:w="1870" w:type="dxa"/>
            <w:tcBorders>
              <w:top w:val="nil"/>
              <w:left w:val="nil"/>
              <w:bottom w:val="nil"/>
              <w:right w:val="nil"/>
            </w:tcBorders>
          </w:tcPr>
          <w:p w14:paraId="738C9C0D" w14:textId="77777777" w:rsidR="0039197C" w:rsidRPr="0039197C" w:rsidRDefault="0039197C" w:rsidP="0039197C">
            <w:pPr>
              <w:jc w:val="center"/>
              <w:rPr>
                <w:rFonts w:eastAsia="Aptos"/>
              </w:rPr>
            </w:pPr>
            <w:r w:rsidRPr="0039197C">
              <w:rPr>
                <w:rFonts w:eastAsia="Aptos"/>
              </w:rPr>
              <w:t>2913.6</w:t>
            </w:r>
            <w:proofErr w:type="gramStart"/>
            <w:r w:rsidRPr="0039197C">
              <w:rPr>
                <w:rFonts w:eastAsia="Aptos"/>
              </w:rPr>
              <w:t xml:space="preserve">   (</w:t>
            </w:r>
            <w:proofErr w:type="gramEnd"/>
            <w:r w:rsidRPr="0039197C">
              <w:rPr>
                <w:rFonts w:eastAsia="Aptos"/>
              </w:rPr>
              <w:t>3895.1)</w:t>
            </w:r>
          </w:p>
        </w:tc>
        <w:tc>
          <w:tcPr>
            <w:tcW w:w="1870" w:type="dxa"/>
            <w:tcBorders>
              <w:top w:val="nil"/>
              <w:left w:val="nil"/>
              <w:bottom w:val="nil"/>
              <w:right w:val="nil"/>
            </w:tcBorders>
          </w:tcPr>
          <w:p w14:paraId="744B93D5" w14:textId="77777777" w:rsidR="0039197C" w:rsidRPr="0039197C" w:rsidRDefault="0039197C" w:rsidP="0039197C">
            <w:pPr>
              <w:jc w:val="center"/>
              <w:rPr>
                <w:rFonts w:eastAsia="Aptos"/>
              </w:rPr>
            </w:pPr>
            <w:r w:rsidRPr="0039197C">
              <w:rPr>
                <w:rFonts w:eastAsia="Aptos"/>
              </w:rPr>
              <w:t xml:space="preserve">2635.4 </w:t>
            </w:r>
          </w:p>
          <w:p w14:paraId="12734EFD" w14:textId="77777777" w:rsidR="0039197C" w:rsidRPr="0039197C" w:rsidRDefault="0039197C" w:rsidP="0039197C">
            <w:pPr>
              <w:jc w:val="center"/>
              <w:rPr>
                <w:rFonts w:eastAsia="Aptos"/>
              </w:rPr>
            </w:pPr>
            <w:r w:rsidRPr="0039197C">
              <w:rPr>
                <w:rFonts w:eastAsia="Aptos"/>
              </w:rPr>
              <w:t>(3637.9)</w:t>
            </w:r>
          </w:p>
        </w:tc>
        <w:tc>
          <w:tcPr>
            <w:tcW w:w="1870" w:type="dxa"/>
            <w:tcBorders>
              <w:top w:val="nil"/>
              <w:left w:val="nil"/>
              <w:bottom w:val="nil"/>
              <w:right w:val="nil"/>
            </w:tcBorders>
          </w:tcPr>
          <w:p w14:paraId="6CA9F615" w14:textId="77777777" w:rsidR="0039197C" w:rsidRPr="0039197C" w:rsidRDefault="0039197C" w:rsidP="0039197C">
            <w:pPr>
              <w:jc w:val="center"/>
              <w:rPr>
                <w:rFonts w:eastAsia="Aptos"/>
              </w:rPr>
            </w:pPr>
            <w:r w:rsidRPr="0039197C">
              <w:rPr>
                <w:rFonts w:eastAsia="Aptos"/>
              </w:rPr>
              <w:t>2563.1</w:t>
            </w:r>
          </w:p>
          <w:p w14:paraId="4F5269FB" w14:textId="77777777" w:rsidR="0039197C" w:rsidRPr="0039197C" w:rsidRDefault="0039197C" w:rsidP="0039197C">
            <w:pPr>
              <w:jc w:val="center"/>
              <w:rPr>
                <w:rFonts w:eastAsia="Aptos"/>
              </w:rPr>
            </w:pPr>
            <w:r w:rsidRPr="0039197C">
              <w:rPr>
                <w:rFonts w:eastAsia="Aptos"/>
              </w:rPr>
              <w:t>(3586.6)</w:t>
            </w:r>
          </w:p>
        </w:tc>
      </w:tr>
      <w:tr w:rsidR="0039197C" w:rsidRPr="0039197C" w14:paraId="68EAE89D" w14:textId="77777777" w:rsidTr="00D14AD2">
        <w:tc>
          <w:tcPr>
            <w:tcW w:w="1870" w:type="dxa"/>
            <w:tcBorders>
              <w:top w:val="nil"/>
              <w:left w:val="nil"/>
              <w:bottom w:val="nil"/>
              <w:right w:val="nil"/>
            </w:tcBorders>
          </w:tcPr>
          <w:p w14:paraId="70FE5B92" w14:textId="77777777" w:rsidR="0039197C" w:rsidRPr="0039197C" w:rsidRDefault="0039197C" w:rsidP="0039197C">
            <w:pPr>
              <w:jc w:val="right"/>
              <w:rPr>
                <w:rFonts w:eastAsia="Aptos"/>
              </w:rPr>
            </w:pPr>
            <w:r w:rsidRPr="0039197C">
              <w:rPr>
                <w:rFonts w:eastAsia="Aptos"/>
              </w:rPr>
              <w:t>Information Technology</w:t>
            </w:r>
          </w:p>
        </w:tc>
        <w:tc>
          <w:tcPr>
            <w:tcW w:w="1870" w:type="dxa"/>
            <w:tcBorders>
              <w:top w:val="nil"/>
              <w:left w:val="nil"/>
              <w:bottom w:val="nil"/>
              <w:right w:val="nil"/>
            </w:tcBorders>
          </w:tcPr>
          <w:p w14:paraId="690BF496" w14:textId="77777777" w:rsidR="0039197C" w:rsidRPr="0039197C" w:rsidRDefault="0039197C" w:rsidP="0039197C">
            <w:pPr>
              <w:jc w:val="center"/>
              <w:rPr>
                <w:rFonts w:eastAsia="Aptos"/>
              </w:rPr>
            </w:pPr>
            <w:r w:rsidRPr="0039197C">
              <w:rPr>
                <w:rFonts w:eastAsia="Aptos"/>
              </w:rPr>
              <w:t xml:space="preserve">801.6  </w:t>
            </w:r>
          </w:p>
          <w:p w14:paraId="0AB304C6" w14:textId="77777777" w:rsidR="0039197C" w:rsidRPr="0039197C" w:rsidRDefault="0039197C" w:rsidP="0039197C">
            <w:pPr>
              <w:jc w:val="center"/>
              <w:rPr>
                <w:rFonts w:eastAsia="Aptos"/>
              </w:rPr>
            </w:pPr>
            <w:r w:rsidRPr="0039197C">
              <w:rPr>
                <w:rFonts w:eastAsia="Aptos"/>
              </w:rPr>
              <w:t xml:space="preserve"> (774.6)</w:t>
            </w:r>
          </w:p>
        </w:tc>
        <w:tc>
          <w:tcPr>
            <w:tcW w:w="1870" w:type="dxa"/>
            <w:tcBorders>
              <w:top w:val="nil"/>
              <w:left w:val="nil"/>
              <w:bottom w:val="nil"/>
              <w:right w:val="nil"/>
            </w:tcBorders>
          </w:tcPr>
          <w:p w14:paraId="10CAD116" w14:textId="77777777" w:rsidR="0039197C" w:rsidRPr="0039197C" w:rsidRDefault="0039197C" w:rsidP="0039197C">
            <w:pPr>
              <w:jc w:val="center"/>
              <w:rPr>
                <w:rFonts w:eastAsia="Aptos"/>
              </w:rPr>
            </w:pPr>
            <w:r w:rsidRPr="0039197C">
              <w:rPr>
                <w:rFonts w:eastAsia="Aptos"/>
              </w:rPr>
              <w:t xml:space="preserve">801.8  </w:t>
            </w:r>
          </w:p>
          <w:p w14:paraId="4FC3F276" w14:textId="77777777" w:rsidR="0039197C" w:rsidRPr="0039197C" w:rsidRDefault="0039197C" w:rsidP="0039197C">
            <w:pPr>
              <w:jc w:val="center"/>
              <w:rPr>
                <w:rFonts w:eastAsia="Aptos"/>
              </w:rPr>
            </w:pPr>
            <w:r w:rsidRPr="0039197C">
              <w:rPr>
                <w:rFonts w:eastAsia="Aptos"/>
              </w:rPr>
              <w:t xml:space="preserve"> (773.2)</w:t>
            </w:r>
          </w:p>
        </w:tc>
        <w:tc>
          <w:tcPr>
            <w:tcW w:w="1870" w:type="dxa"/>
            <w:tcBorders>
              <w:top w:val="nil"/>
              <w:left w:val="nil"/>
              <w:bottom w:val="nil"/>
              <w:right w:val="nil"/>
            </w:tcBorders>
          </w:tcPr>
          <w:p w14:paraId="2B397EEC" w14:textId="77777777" w:rsidR="0039197C" w:rsidRPr="0039197C" w:rsidRDefault="0039197C" w:rsidP="0039197C">
            <w:pPr>
              <w:jc w:val="center"/>
              <w:rPr>
                <w:rFonts w:eastAsia="Aptos"/>
              </w:rPr>
            </w:pPr>
            <w:r w:rsidRPr="0039197C">
              <w:rPr>
                <w:rFonts w:eastAsia="Aptos"/>
              </w:rPr>
              <w:t xml:space="preserve">798.3   </w:t>
            </w:r>
          </w:p>
          <w:p w14:paraId="57C6E658" w14:textId="77777777" w:rsidR="0039197C" w:rsidRPr="0039197C" w:rsidRDefault="0039197C" w:rsidP="0039197C">
            <w:pPr>
              <w:jc w:val="center"/>
              <w:rPr>
                <w:rFonts w:eastAsia="Aptos"/>
              </w:rPr>
            </w:pPr>
            <w:r w:rsidRPr="0039197C">
              <w:rPr>
                <w:rFonts w:eastAsia="Aptos"/>
              </w:rPr>
              <w:t xml:space="preserve"> (794.5)</w:t>
            </w:r>
          </w:p>
        </w:tc>
        <w:tc>
          <w:tcPr>
            <w:tcW w:w="1870" w:type="dxa"/>
            <w:tcBorders>
              <w:top w:val="nil"/>
              <w:left w:val="nil"/>
              <w:bottom w:val="nil"/>
              <w:right w:val="nil"/>
            </w:tcBorders>
          </w:tcPr>
          <w:p w14:paraId="047FAA2B" w14:textId="77777777" w:rsidR="0039197C" w:rsidRPr="0039197C" w:rsidRDefault="0039197C" w:rsidP="0039197C">
            <w:pPr>
              <w:jc w:val="center"/>
              <w:rPr>
                <w:rFonts w:eastAsia="Aptos"/>
              </w:rPr>
            </w:pPr>
            <w:r w:rsidRPr="0039197C">
              <w:rPr>
                <w:rFonts w:eastAsia="Aptos"/>
              </w:rPr>
              <w:t>834.9</w:t>
            </w:r>
          </w:p>
          <w:p w14:paraId="30AFF230" w14:textId="77777777" w:rsidR="0039197C" w:rsidRPr="0039197C" w:rsidRDefault="0039197C" w:rsidP="0039197C">
            <w:pPr>
              <w:jc w:val="center"/>
              <w:rPr>
                <w:rFonts w:eastAsia="Aptos"/>
              </w:rPr>
            </w:pPr>
            <w:r w:rsidRPr="0039197C">
              <w:rPr>
                <w:rFonts w:eastAsia="Aptos"/>
              </w:rPr>
              <w:t>(798.7)</w:t>
            </w:r>
          </w:p>
        </w:tc>
      </w:tr>
      <w:tr w:rsidR="0039197C" w:rsidRPr="0039197C" w14:paraId="133ED214" w14:textId="77777777" w:rsidTr="00D14AD2">
        <w:tc>
          <w:tcPr>
            <w:tcW w:w="1870" w:type="dxa"/>
            <w:tcBorders>
              <w:top w:val="nil"/>
              <w:left w:val="nil"/>
              <w:bottom w:val="nil"/>
              <w:right w:val="nil"/>
            </w:tcBorders>
          </w:tcPr>
          <w:p w14:paraId="16EAAC53" w14:textId="77777777" w:rsidR="0039197C" w:rsidRPr="0039197C" w:rsidRDefault="0039197C" w:rsidP="0039197C">
            <w:pPr>
              <w:jc w:val="right"/>
              <w:rPr>
                <w:rFonts w:eastAsia="Aptos"/>
              </w:rPr>
            </w:pPr>
            <w:r w:rsidRPr="0039197C">
              <w:rPr>
                <w:rFonts w:eastAsia="Aptos"/>
              </w:rPr>
              <w:t>Engineering</w:t>
            </w:r>
          </w:p>
        </w:tc>
        <w:tc>
          <w:tcPr>
            <w:tcW w:w="1870" w:type="dxa"/>
            <w:tcBorders>
              <w:top w:val="nil"/>
              <w:left w:val="nil"/>
              <w:bottom w:val="nil"/>
              <w:right w:val="nil"/>
            </w:tcBorders>
          </w:tcPr>
          <w:p w14:paraId="43E1A519" w14:textId="77777777" w:rsidR="0039197C" w:rsidRPr="0039197C" w:rsidRDefault="0039197C" w:rsidP="0039197C">
            <w:pPr>
              <w:jc w:val="center"/>
              <w:rPr>
                <w:rFonts w:eastAsia="Aptos"/>
              </w:rPr>
            </w:pPr>
            <w:r w:rsidRPr="0039197C">
              <w:rPr>
                <w:rFonts w:eastAsia="Aptos"/>
              </w:rPr>
              <w:t xml:space="preserve">4310.4 </w:t>
            </w:r>
            <w:proofErr w:type="gramStart"/>
            <w:r w:rsidRPr="0039197C">
              <w:rPr>
                <w:rFonts w:eastAsia="Aptos"/>
              </w:rPr>
              <w:t xml:space="preserve">   (</w:t>
            </w:r>
            <w:proofErr w:type="gramEnd"/>
            <w:r w:rsidRPr="0039197C">
              <w:rPr>
                <w:rFonts w:eastAsia="Aptos"/>
              </w:rPr>
              <w:t>4104.1)</w:t>
            </w:r>
          </w:p>
        </w:tc>
        <w:tc>
          <w:tcPr>
            <w:tcW w:w="1870" w:type="dxa"/>
            <w:tcBorders>
              <w:top w:val="nil"/>
              <w:left w:val="nil"/>
              <w:bottom w:val="nil"/>
              <w:right w:val="nil"/>
            </w:tcBorders>
          </w:tcPr>
          <w:p w14:paraId="42878BB8" w14:textId="77777777" w:rsidR="0039197C" w:rsidRPr="0039197C" w:rsidRDefault="0039197C" w:rsidP="0039197C">
            <w:pPr>
              <w:jc w:val="center"/>
              <w:rPr>
                <w:rFonts w:eastAsia="Aptos"/>
              </w:rPr>
            </w:pPr>
            <w:r w:rsidRPr="0039197C">
              <w:rPr>
                <w:rFonts w:eastAsia="Aptos"/>
              </w:rPr>
              <w:t>4378.4</w:t>
            </w:r>
            <w:proofErr w:type="gramStart"/>
            <w:r w:rsidRPr="0039197C">
              <w:rPr>
                <w:rFonts w:eastAsia="Aptos"/>
              </w:rPr>
              <w:t xml:space="preserve">   (</w:t>
            </w:r>
            <w:proofErr w:type="gramEnd"/>
            <w:r w:rsidRPr="0039197C">
              <w:rPr>
                <w:rFonts w:eastAsia="Aptos"/>
              </w:rPr>
              <w:t>4133.1)</w:t>
            </w:r>
          </w:p>
        </w:tc>
        <w:tc>
          <w:tcPr>
            <w:tcW w:w="1870" w:type="dxa"/>
            <w:tcBorders>
              <w:top w:val="nil"/>
              <w:left w:val="nil"/>
              <w:bottom w:val="nil"/>
              <w:right w:val="nil"/>
            </w:tcBorders>
          </w:tcPr>
          <w:p w14:paraId="6507F14D" w14:textId="77777777" w:rsidR="0039197C" w:rsidRPr="0039197C" w:rsidRDefault="0039197C" w:rsidP="0039197C">
            <w:pPr>
              <w:jc w:val="center"/>
              <w:rPr>
                <w:rFonts w:eastAsia="Aptos"/>
              </w:rPr>
            </w:pPr>
            <w:r w:rsidRPr="0039197C">
              <w:rPr>
                <w:rFonts w:eastAsia="Aptos"/>
              </w:rPr>
              <w:t xml:space="preserve">3479.8 </w:t>
            </w:r>
            <w:proofErr w:type="gramStart"/>
            <w:r w:rsidRPr="0039197C">
              <w:rPr>
                <w:rFonts w:eastAsia="Aptos"/>
              </w:rPr>
              <w:t xml:space="preserve">   (</w:t>
            </w:r>
            <w:proofErr w:type="gramEnd"/>
            <w:r w:rsidRPr="0039197C">
              <w:rPr>
                <w:rFonts w:eastAsia="Aptos"/>
              </w:rPr>
              <w:t>3634.2)</w:t>
            </w:r>
          </w:p>
        </w:tc>
        <w:tc>
          <w:tcPr>
            <w:tcW w:w="1870" w:type="dxa"/>
            <w:tcBorders>
              <w:top w:val="nil"/>
              <w:left w:val="nil"/>
              <w:bottom w:val="nil"/>
              <w:right w:val="nil"/>
            </w:tcBorders>
          </w:tcPr>
          <w:p w14:paraId="7CC1008B" w14:textId="77777777" w:rsidR="0039197C" w:rsidRPr="0039197C" w:rsidRDefault="0039197C" w:rsidP="0039197C">
            <w:pPr>
              <w:jc w:val="center"/>
              <w:rPr>
                <w:rFonts w:eastAsia="Aptos"/>
              </w:rPr>
            </w:pPr>
            <w:r w:rsidRPr="0039197C">
              <w:rPr>
                <w:rFonts w:eastAsia="Aptos"/>
              </w:rPr>
              <w:t xml:space="preserve">3755.3  </w:t>
            </w:r>
            <w:proofErr w:type="gramStart"/>
            <w:r w:rsidRPr="0039197C">
              <w:rPr>
                <w:rFonts w:eastAsia="Aptos"/>
              </w:rPr>
              <w:t xml:space="preserve">   (</w:t>
            </w:r>
            <w:proofErr w:type="gramEnd"/>
            <w:r w:rsidRPr="0039197C">
              <w:rPr>
                <w:rFonts w:eastAsia="Aptos"/>
              </w:rPr>
              <w:t>3507.2)</w:t>
            </w:r>
          </w:p>
        </w:tc>
      </w:tr>
      <w:tr w:rsidR="0039197C" w:rsidRPr="0039197C" w14:paraId="23A9F777" w14:textId="77777777" w:rsidTr="00D14AD2">
        <w:tc>
          <w:tcPr>
            <w:tcW w:w="1870" w:type="dxa"/>
            <w:tcBorders>
              <w:top w:val="nil"/>
              <w:left w:val="nil"/>
              <w:bottom w:val="nil"/>
              <w:right w:val="nil"/>
            </w:tcBorders>
          </w:tcPr>
          <w:p w14:paraId="6C0E0D39" w14:textId="77777777" w:rsidR="0039197C" w:rsidRPr="0039197C" w:rsidRDefault="0039197C" w:rsidP="0039197C">
            <w:pPr>
              <w:jc w:val="right"/>
              <w:rPr>
                <w:rFonts w:eastAsia="Aptos"/>
              </w:rPr>
            </w:pPr>
            <w:r w:rsidRPr="0039197C">
              <w:rPr>
                <w:rFonts w:eastAsia="Aptos"/>
              </w:rPr>
              <w:t>Architecture &amp; Construction</w:t>
            </w:r>
          </w:p>
        </w:tc>
        <w:tc>
          <w:tcPr>
            <w:tcW w:w="1870" w:type="dxa"/>
            <w:tcBorders>
              <w:top w:val="nil"/>
              <w:left w:val="nil"/>
              <w:bottom w:val="nil"/>
              <w:right w:val="nil"/>
            </w:tcBorders>
          </w:tcPr>
          <w:p w14:paraId="721E3A3E" w14:textId="77777777" w:rsidR="0039197C" w:rsidRPr="0039197C" w:rsidRDefault="0039197C" w:rsidP="0039197C">
            <w:pPr>
              <w:jc w:val="center"/>
              <w:rPr>
                <w:rFonts w:eastAsia="Aptos"/>
              </w:rPr>
            </w:pPr>
            <w:r w:rsidRPr="0039197C">
              <w:rPr>
                <w:rFonts w:eastAsia="Aptos"/>
              </w:rPr>
              <w:t>2465.3</w:t>
            </w:r>
            <w:proofErr w:type="gramStart"/>
            <w:r w:rsidRPr="0039197C">
              <w:rPr>
                <w:rFonts w:eastAsia="Aptos"/>
              </w:rPr>
              <w:t xml:space="preserve">   (</w:t>
            </w:r>
            <w:proofErr w:type="gramEnd"/>
            <w:r w:rsidRPr="0039197C">
              <w:rPr>
                <w:rFonts w:eastAsia="Aptos"/>
              </w:rPr>
              <w:t>2188.7)</w:t>
            </w:r>
          </w:p>
        </w:tc>
        <w:tc>
          <w:tcPr>
            <w:tcW w:w="1870" w:type="dxa"/>
            <w:tcBorders>
              <w:top w:val="nil"/>
              <w:left w:val="nil"/>
              <w:bottom w:val="nil"/>
              <w:right w:val="nil"/>
            </w:tcBorders>
          </w:tcPr>
          <w:p w14:paraId="0CAD4427" w14:textId="77777777" w:rsidR="0039197C" w:rsidRPr="0039197C" w:rsidRDefault="0039197C" w:rsidP="0039197C">
            <w:pPr>
              <w:jc w:val="center"/>
              <w:rPr>
                <w:rFonts w:eastAsia="Aptos"/>
              </w:rPr>
            </w:pPr>
            <w:r w:rsidRPr="0039197C">
              <w:rPr>
                <w:rFonts w:eastAsia="Aptos"/>
              </w:rPr>
              <w:t>2492.2</w:t>
            </w:r>
            <w:proofErr w:type="gramStart"/>
            <w:r w:rsidRPr="0039197C">
              <w:rPr>
                <w:rFonts w:eastAsia="Aptos"/>
              </w:rPr>
              <w:t xml:space="preserve">   (</w:t>
            </w:r>
            <w:proofErr w:type="gramEnd"/>
            <w:r w:rsidRPr="0039197C">
              <w:rPr>
                <w:rFonts w:eastAsia="Aptos"/>
              </w:rPr>
              <w:t>2190.2)</w:t>
            </w:r>
          </w:p>
        </w:tc>
        <w:tc>
          <w:tcPr>
            <w:tcW w:w="1870" w:type="dxa"/>
            <w:tcBorders>
              <w:top w:val="nil"/>
              <w:left w:val="nil"/>
              <w:bottom w:val="nil"/>
              <w:right w:val="nil"/>
            </w:tcBorders>
          </w:tcPr>
          <w:p w14:paraId="6E1C47BC" w14:textId="77777777" w:rsidR="0039197C" w:rsidRPr="0039197C" w:rsidRDefault="0039197C" w:rsidP="0039197C">
            <w:pPr>
              <w:jc w:val="center"/>
              <w:rPr>
                <w:rFonts w:eastAsia="Aptos"/>
              </w:rPr>
            </w:pPr>
            <w:r w:rsidRPr="0039197C">
              <w:rPr>
                <w:rFonts w:eastAsia="Aptos"/>
              </w:rPr>
              <w:t xml:space="preserve">2144.4  </w:t>
            </w:r>
          </w:p>
          <w:p w14:paraId="4DF8E0A5" w14:textId="77777777" w:rsidR="0039197C" w:rsidRPr="0039197C" w:rsidRDefault="0039197C" w:rsidP="0039197C">
            <w:pPr>
              <w:jc w:val="center"/>
              <w:rPr>
                <w:rFonts w:eastAsia="Aptos"/>
              </w:rPr>
            </w:pPr>
            <w:r w:rsidRPr="0039197C">
              <w:rPr>
                <w:rFonts w:eastAsia="Aptos"/>
              </w:rPr>
              <w:t>(2148.1)</w:t>
            </w:r>
          </w:p>
        </w:tc>
        <w:tc>
          <w:tcPr>
            <w:tcW w:w="1870" w:type="dxa"/>
            <w:tcBorders>
              <w:top w:val="nil"/>
              <w:left w:val="nil"/>
              <w:bottom w:val="nil"/>
              <w:right w:val="nil"/>
            </w:tcBorders>
          </w:tcPr>
          <w:p w14:paraId="5FCF02C4" w14:textId="77777777" w:rsidR="0039197C" w:rsidRPr="0039197C" w:rsidRDefault="0039197C" w:rsidP="0039197C">
            <w:pPr>
              <w:jc w:val="center"/>
              <w:rPr>
                <w:rFonts w:eastAsia="Aptos"/>
              </w:rPr>
            </w:pPr>
            <w:r w:rsidRPr="0039197C">
              <w:rPr>
                <w:rFonts w:eastAsia="Aptos"/>
              </w:rPr>
              <w:t xml:space="preserve">2208.3 </w:t>
            </w:r>
            <w:proofErr w:type="gramStart"/>
            <w:r w:rsidRPr="0039197C">
              <w:rPr>
                <w:rFonts w:eastAsia="Aptos"/>
              </w:rPr>
              <w:t xml:space="preserve">   (</w:t>
            </w:r>
            <w:proofErr w:type="gramEnd"/>
            <w:r w:rsidRPr="0039197C">
              <w:rPr>
                <w:rFonts w:eastAsia="Aptos"/>
              </w:rPr>
              <w:t>2070.5)</w:t>
            </w:r>
          </w:p>
        </w:tc>
      </w:tr>
      <w:tr w:rsidR="0039197C" w:rsidRPr="0039197C" w14:paraId="2363FD6F" w14:textId="77777777" w:rsidTr="00D14AD2">
        <w:tc>
          <w:tcPr>
            <w:tcW w:w="1870" w:type="dxa"/>
            <w:tcBorders>
              <w:top w:val="nil"/>
              <w:left w:val="nil"/>
              <w:bottom w:val="nil"/>
              <w:right w:val="nil"/>
            </w:tcBorders>
          </w:tcPr>
          <w:p w14:paraId="4A87570A" w14:textId="77777777" w:rsidR="0039197C" w:rsidRPr="0039197C" w:rsidRDefault="0039197C" w:rsidP="0039197C">
            <w:pPr>
              <w:jc w:val="center"/>
              <w:rPr>
                <w:rFonts w:eastAsia="Aptos"/>
                <w:i/>
                <w:iCs/>
              </w:rPr>
            </w:pPr>
            <w:r w:rsidRPr="0039197C">
              <w:rPr>
                <w:rFonts w:eastAsia="Aptos"/>
                <w:i/>
                <w:iCs/>
              </w:rPr>
              <w:t>Hires All – All Clusters</w:t>
            </w:r>
          </w:p>
        </w:tc>
        <w:tc>
          <w:tcPr>
            <w:tcW w:w="1870" w:type="dxa"/>
            <w:tcBorders>
              <w:top w:val="nil"/>
              <w:left w:val="nil"/>
              <w:bottom w:val="nil"/>
              <w:right w:val="nil"/>
            </w:tcBorders>
          </w:tcPr>
          <w:p w14:paraId="4522E70F" w14:textId="77777777" w:rsidR="0039197C" w:rsidRPr="0039197C" w:rsidRDefault="0039197C" w:rsidP="0039197C">
            <w:pPr>
              <w:jc w:val="center"/>
              <w:rPr>
                <w:rFonts w:eastAsia="Aptos"/>
              </w:rPr>
            </w:pPr>
            <w:r w:rsidRPr="0039197C">
              <w:rPr>
                <w:rFonts w:eastAsia="Aptos"/>
              </w:rPr>
              <w:t xml:space="preserve">11717  </w:t>
            </w:r>
            <w:proofErr w:type="gramStart"/>
            <w:r w:rsidRPr="0039197C">
              <w:rPr>
                <w:rFonts w:eastAsia="Aptos"/>
              </w:rPr>
              <w:t xml:space="preserve">   (</w:t>
            </w:r>
            <w:proofErr w:type="gramEnd"/>
            <w:r w:rsidRPr="0039197C">
              <w:rPr>
                <w:rFonts w:eastAsia="Aptos"/>
              </w:rPr>
              <w:t>16518.8)</w:t>
            </w:r>
          </w:p>
        </w:tc>
        <w:tc>
          <w:tcPr>
            <w:tcW w:w="1870" w:type="dxa"/>
            <w:tcBorders>
              <w:top w:val="nil"/>
              <w:left w:val="nil"/>
              <w:bottom w:val="nil"/>
              <w:right w:val="nil"/>
            </w:tcBorders>
          </w:tcPr>
          <w:p w14:paraId="67070EC7" w14:textId="77777777" w:rsidR="0039197C" w:rsidRPr="0039197C" w:rsidRDefault="0039197C" w:rsidP="0039197C">
            <w:pPr>
              <w:jc w:val="center"/>
              <w:rPr>
                <w:rFonts w:eastAsia="Aptos"/>
              </w:rPr>
            </w:pPr>
            <w:r w:rsidRPr="0039197C">
              <w:rPr>
                <w:rFonts w:eastAsia="Aptos"/>
              </w:rPr>
              <w:t xml:space="preserve">11790.9 </w:t>
            </w:r>
            <w:proofErr w:type="gramStart"/>
            <w:r w:rsidRPr="0039197C">
              <w:rPr>
                <w:rFonts w:eastAsia="Aptos"/>
              </w:rPr>
              <w:t xml:space="preserve">   (</w:t>
            </w:r>
            <w:proofErr w:type="gramEnd"/>
            <w:r w:rsidRPr="0039197C">
              <w:rPr>
                <w:rFonts w:eastAsia="Aptos"/>
              </w:rPr>
              <w:t>16580.7)</w:t>
            </w:r>
          </w:p>
        </w:tc>
        <w:tc>
          <w:tcPr>
            <w:tcW w:w="1870" w:type="dxa"/>
            <w:tcBorders>
              <w:top w:val="nil"/>
              <w:left w:val="nil"/>
              <w:bottom w:val="nil"/>
              <w:right w:val="nil"/>
            </w:tcBorders>
          </w:tcPr>
          <w:p w14:paraId="14CECA74" w14:textId="77777777" w:rsidR="0039197C" w:rsidRPr="0039197C" w:rsidRDefault="0039197C" w:rsidP="0039197C">
            <w:pPr>
              <w:jc w:val="center"/>
              <w:rPr>
                <w:rFonts w:eastAsia="Aptos"/>
              </w:rPr>
            </w:pPr>
            <w:r w:rsidRPr="0039197C">
              <w:rPr>
                <w:rFonts w:eastAsia="Aptos"/>
              </w:rPr>
              <w:t xml:space="preserve">10679.4 </w:t>
            </w:r>
            <w:proofErr w:type="gramStart"/>
            <w:r w:rsidRPr="0039197C">
              <w:rPr>
                <w:rFonts w:eastAsia="Aptos"/>
              </w:rPr>
              <w:t xml:space="preserve">   (</w:t>
            </w:r>
            <w:proofErr w:type="gramEnd"/>
            <w:r w:rsidRPr="0039197C">
              <w:rPr>
                <w:rFonts w:eastAsia="Aptos"/>
              </w:rPr>
              <w:t>15589.7)</w:t>
            </w:r>
          </w:p>
        </w:tc>
        <w:tc>
          <w:tcPr>
            <w:tcW w:w="1870" w:type="dxa"/>
            <w:tcBorders>
              <w:top w:val="nil"/>
              <w:left w:val="nil"/>
              <w:bottom w:val="nil"/>
              <w:right w:val="nil"/>
            </w:tcBorders>
          </w:tcPr>
          <w:p w14:paraId="5C3975AB" w14:textId="77777777" w:rsidR="0039197C" w:rsidRPr="0039197C" w:rsidRDefault="0039197C" w:rsidP="0039197C">
            <w:pPr>
              <w:jc w:val="center"/>
              <w:rPr>
                <w:rFonts w:eastAsia="Aptos"/>
              </w:rPr>
            </w:pPr>
            <w:r w:rsidRPr="0039197C">
              <w:rPr>
                <w:rFonts w:eastAsia="Aptos"/>
              </w:rPr>
              <w:t xml:space="preserve">10448.9 </w:t>
            </w:r>
            <w:proofErr w:type="gramStart"/>
            <w:r w:rsidRPr="0039197C">
              <w:rPr>
                <w:rFonts w:eastAsia="Aptos"/>
              </w:rPr>
              <w:t xml:space="preserve">   (</w:t>
            </w:r>
            <w:proofErr w:type="gramEnd"/>
            <w:r w:rsidRPr="0039197C">
              <w:rPr>
                <w:rFonts w:eastAsia="Aptos"/>
              </w:rPr>
              <w:t>15462.8)</w:t>
            </w:r>
          </w:p>
        </w:tc>
      </w:tr>
      <w:tr w:rsidR="0039197C" w:rsidRPr="0039197C" w14:paraId="299AF833" w14:textId="77777777" w:rsidTr="00D14AD2">
        <w:tc>
          <w:tcPr>
            <w:tcW w:w="1870" w:type="dxa"/>
            <w:tcBorders>
              <w:top w:val="nil"/>
              <w:left w:val="nil"/>
              <w:bottom w:val="nil"/>
              <w:right w:val="nil"/>
            </w:tcBorders>
          </w:tcPr>
          <w:p w14:paraId="4DFE5CC5" w14:textId="77777777" w:rsidR="0039197C" w:rsidRPr="0039197C" w:rsidRDefault="0039197C" w:rsidP="0039197C">
            <w:pPr>
              <w:jc w:val="right"/>
              <w:rPr>
                <w:rFonts w:eastAsia="Aptos"/>
              </w:rPr>
            </w:pPr>
            <w:r w:rsidRPr="0039197C">
              <w:rPr>
                <w:rFonts w:eastAsia="Aptos"/>
              </w:rPr>
              <w:t>Information Technology</w:t>
            </w:r>
          </w:p>
        </w:tc>
        <w:tc>
          <w:tcPr>
            <w:tcW w:w="1870" w:type="dxa"/>
            <w:tcBorders>
              <w:top w:val="nil"/>
              <w:left w:val="nil"/>
              <w:bottom w:val="nil"/>
              <w:right w:val="nil"/>
            </w:tcBorders>
          </w:tcPr>
          <w:p w14:paraId="3239DC6A" w14:textId="77777777" w:rsidR="0039197C" w:rsidRPr="0039197C" w:rsidRDefault="0039197C" w:rsidP="0039197C">
            <w:pPr>
              <w:jc w:val="center"/>
              <w:rPr>
                <w:rFonts w:eastAsia="Aptos"/>
              </w:rPr>
            </w:pPr>
            <w:r w:rsidRPr="0039197C">
              <w:rPr>
                <w:rFonts w:eastAsia="Aptos"/>
              </w:rPr>
              <w:t xml:space="preserve">2550.8 </w:t>
            </w:r>
          </w:p>
          <w:p w14:paraId="70C9A918" w14:textId="77777777" w:rsidR="0039197C" w:rsidRPr="0039197C" w:rsidRDefault="0039197C" w:rsidP="0039197C">
            <w:pPr>
              <w:jc w:val="center"/>
              <w:rPr>
                <w:rFonts w:eastAsia="Aptos"/>
              </w:rPr>
            </w:pPr>
            <w:r w:rsidRPr="0039197C">
              <w:rPr>
                <w:rFonts w:eastAsia="Aptos"/>
              </w:rPr>
              <w:t xml:space="preserve"> (2357.3)</w:t>
            </w:r>
          </w:p>
        </w:tc>
        <w:tc>
          <w:tcPr>
            <w:tcW w:w="1870" w:type="dxa"/>
            <w:tcBorders>
              <w:top w:val="nil"/>
              <w:left w:val="nil"/>
              <w:bottom w:val="nil"/>
              <w:right w:val="nil"/>
            </w:tcBorders>
          </w:tcPr>
          <w:p w14:paraId="0368EEB7" w14:textId="77777777" w:rsidR="0039197C" w:rsidRPr="0039197C" w:rsidRDefault="0039197C" w:rsidP="0039197C">
            <w:pPr>
              <w:jc w:val="center"/>
              <w:rPr>
                <w:rFonts w:eastAsia="Aptos"/>
              </w:rPr>
            </w:pPr>
            <w:r w:rsidRPr="0039197C">
              <w:rPr>
                <w:rFonts w:eastAsia="Aptos"/>
              </w:rPr>
              <w:t>2557.5</w:t>
            </w:r>
            <w:proofErr w:type="gramStart"/>
            <w:r w:rsidRPr="0039197C">
              <w:rPr>
                <w:rFonts w:eastAsia="Aptos"/>
              </w:rPr>
              <w:t xml:space="preserve">   (</w:t>
            </w:r>
            <w:proofErr w:type="gramEnd"/>
            <w:r w:rsidRPr="0039197C">
              <w:rPr>
                <w:rFonts w:eastAsia="Aptos"/>
              </w:rPr>
              <w:t>2354.9)</w:t>
            </w:r>
          </w:p>
        </w:tc>
        <w:tc>
          <w:tcPr>
            <w:tcW w:w="1870" w:type="dxa"/>
            <w:tcBorders>
              <w:top w:val="nil"/>
              <w:left w:val="nil"/>
              <w:bottom w:val="nil"/>
              <w:right w:val="nil"/>
            </w:tcBorders>
          </w:tcPr>
          <w:p w14:paraId="6B9A92A8" w14:textId="77777777" w:rsidR="0039197C" w:rsidRPr="0039197C" w:rsidRDefault="0039197C" w:rsidP="0039197C">
            <w:pPr>
              <w:jc w:val="center"/>
              <w:rPr>
                <w:rFonts w:eastAsia="Aptos"/>
              </w:rPr>
            </w:pPr>
            <w:r w:rsidRPr="0039197C">
              <w:rPr>
                <w:rFonts w:eastAsia="Aptos"/>
              </w:rPr>
              <w:t>2456.8</w:t>
            </w:r>
            <w:proofErr w:type="gramStart"/>
            <w:r w:rsidRPr="0039197C">
              <w:rPr>
                <w:rFonts w:eastAsia="Aptos"/>
              </w:rPr>
              <w:t xml:space="preserve">   (</w:t>
            </w:r>
            <w:proofErr w:type="gramEnd"/>
            <w:r w:rsidRPr="0039197C">
              <w:rPr>
                <w:rFonts w:eastAsia="Aptos"/>
              </w:rPr>
              <w:t>2390.2)</w:t>
            </w:r>
          </w:p>
        </w:tc>
        <w:tc>
          <w:tcPr>
            <w:tcW w:w="1870" w:type="dxa"/>
            <w:tcBorders>
              <w:top w:val="nil"/>
              <w:left w:val="nil"/>
              <w:bottom w:val="nil"/>
              <w:right w:val="nil"/>
            </w:tcBorders>
          </w:tcPr>
          <w:p w14:paraId="23F92F5E" w14:textId="77777777" w:rsidR="0039197C" w:rsidRPr="0039197C" w:rsidRDefault="0039197C" w:rsidP="0039197C">
            <w:pPr>
              <w:jc w:val="center"/>
              <w:rPr>
                <w:rFonts w:eastAsia="Aptos"/>
              </w:rPr>
            </w:pPr>
            <w:r w:rsidRPr="0039197C">
              <w:rPr>
                <w:rFonts w:eastAsia="Aptos"/>
              </w:rPr>
              <w:t xml:space="preserve">2560.5 </w:t>
            </w:r>
            <w:proofErr w:type="gramStart"/>
            <w:r w:rsidRPr="0039197C">
              <w:rPr>
                <w:rFonts w:eastAsia="Aptos"/>
              </w:rPr>
              <w:t xml:space="preserve">   (</w:t>
            </w:r>
            <w:proofErr w:type="gramEnd"/>
            <w:r w:rsidRPr="0039197C">
              <w:rPr>
                <w:rFonts w:eastAsia="Aptos"/>
              </w:rPr>
              <w:t>2377.4)</w:t>
            </w:r>
          </w:p>
        </w:tc>
      </w:tr>
      <w:tr w:rsidR="0039197C" w:rsidRPr="0039197C" w14:paraId="1C28CCB7" w14:textId="77777777" w:rsidTr="00D14AD2">
        <w:tc>
          <w:tcPr>
            <w:tcW w:w="1870" w:type="dxa"/>
            <w:tcBorders>
              <w:top w:val="nil"/>
              <w:left w:val="nil"/>
              <w:bottom w:val="nil"/>
              <w:right w:val="nil"/>
            </w:tcBorders>
          </w:tcPr>
          <w:p w14:paraId="39308835" w14:textId="77777777" w:rsidR="0039197C" w:rsidRPr="0039197C" w:rsidRDefault="0039197C" w:rsidP="0039197C">
            <w:pPr>
              <w:jc w:val="right"/>
              <w:rPr>
                <w:rFonts w:eastAsia="Aptos"/>
              </w:rPr>
            </w:pPr>
            <w:r w:rsidRPr="0039197C">
              <w:rPr>
                <w:rFonts w:eastAsia="Aptos"/>
              </w:rPr>
              <w:t>Engineering</w:t>
            </w:r>
          </w:p>
        </w:tc>
        <w:tc>
          <w:tcPr>
            <w:tcW w:w="1870" w:type="dxa"/>
            <w:tcBorders>
              <w:top w:val="nil"/>
              <w:left w:val="nil"/>
              <w:bottom w:val="nil"/>
              <w:right w:val="nil"/>
            </w:tcBorders>
          </w:tcPr>
          <w:p w14:paraId="15E61E44" w14:textId="77777777" w:rsidR="0039197C" w:rsidRPr="0039197C" w:rsidRDefault="0039197C" w:rsidP="0039197C">
            <w:pPr>
              <w:jc w:val="center"/>
              <w:rPr>
                <w:rFonts w:eastAsia="Aptos"/>
              </w:rPr>
            </w:pPr>
            <w:r w:rsidRPr="0039197C">
              <w:rPr>
                <w:rFonts w:eastAsia="Aptos"/>
              </w:rPr>
              <w:t xml:space="preserve">10588.5 </w:t>
            </w:r>
            <w:proofErr w:type="gramStart"/>
            <w:r w:rsidRPr="0039197C">
              <w:rPr>
                <w:rFonts w:eastAsia="Aptos"/>
              </w:rPr>
              <w:t xml:space="preserve">   (</w:t>
            </w:r>
            <w:proofErr w:type="gramEnd"/>
            <w:r w:rsidRPr="0039197C">
              <w:rPr>
                <w:rFonts w:eastAsia="Aptos"/>
              </w:rPr>
              <w:t>10204.3)</w:t>
            </w:r>
          </w:p>
        </w:tc>
        <w:tc>
          <w:tcPr>
            <w:tcW w:w="1870" w:type="dxa"/>
            <w:tcBorders>
              <w:top w:val="nil"/>
              <w:left w:val="nil"/>
              <w:bottom w:val="nil"/>
              <w:right w:val="nil"/>
            </w:tcBorders>
          </w:tcPr>
          <w:p w14:paraId="3823D558" w14:textId="77777777" w:rsidR="0039197C" w:rsidRPr="0039197C" w:rsidRDefault="0039197C" w:rsidP="0039197C">
            <w:pPr>
              <w:jc w:val="center"/>
              <w:rPr>
                <w:rFonts w:eastAsia="Aptos"/>
              </w:rPr>
            </w:pPr>
            <w:r w:rsidRPr="0039197C">
              <w:rPr>
                <w:rFonts w:eastAsia="Aptos"/>
              </w:rPr>
              <w:t xml:space="preserve">10748.8  </w:t>
            </w:r>
            <w:proofErr w:type="gramStart"/>
            <w:r w:rsidRPr="0039197C">
              <w:rPr>
                <w:rFonts w:eastAsia="Aptos"/>
              </w:rPr>
              <w:t xml:space="preserve">   (</w:t>
            </w:r>
            <w:proofErr w:type="gramEnd"/>
            <w:r w:rsidRPr="0039197C">
              <w:rPr>
                <w:rFonts w:eastAsia="Aptos"/>
              </w:rPr>
              <w:t>10265.3)</w:t>
            </w:r>
          </w:p>
        </w:tc>
        <w:tc>
          <w:tcPr>
            <w:tcW w:w="1870" w:type="dxa"/>
            <w:tcBorders>
              <w:top w:val="nil"/>
              <w:left w:val="nil"/>
              <w:bottom w:val="nil"/>
              <w:right w:val="nil"/>
            </w:tcBorders>
          </w:tcPr>
          <w:p w14:paraId="51BC651D" w14:textId="77777777" w:rsidR="0039197C" w:rsidRPr="0039197C" w:rsidRDefault="0039197C" w:rsidP="0039197C">
            <w:pPr>
              <w:jc w:val="center"/>
              <w:rPr>
                <w:rFonts w:eastAsia="Aptos"/>
              </w:rPr>
            </w:pPr>
            <w:r w:rsidRPr="0039197C">
              <w:rPr>
                <w:rFonts w:eastAsia="Aptos"/>
              </w:rPr>
              <w:t>8627.8</w:t>
            </w:r>
            <w:proofErr w:type="gramStart"/>
            <w:r w:rsidRPr="0039197C">
              <w:rPr>
                <w:rFonts w:eastAsia="Aptos"/>
              </w:rPr>
              <w:t xml:space="preserve">   (</w:t>
            </w:r>
            <w:proofErr w:type="gramEnd"/>
            <w:r w:rsidRPr="0039197C">
              <w:rPr>
                <w:rFonts w:eastAsia="Aptos"/>
              </w:rPr>
              <w:t>9212.6)</w:t>
            </w:r>
          </w:p>
        </w:tc>
        <w:tc>
          <w:tcPr>
            <w:tcW w:w="1870" w:type="dxa"/>
            <w:tcBorders>
              <w:top w:val="nil"/>
              <w:left w:val="nil"/>
              <w:bottom w:val="nil"/>
              <w:right w:val="nil"/>
            </w:tcBorders>
          </w:tcPr>
          <w:p w14:paraId="437FE2B3" w14:textId="77777777" w:rsidR="0039197C" w:rsidRPr="0039197C" w:rsidRDefault="0039197C" w:rsidP="0039197C">
            <w:pPr>
              <w:jc w:val="center"/>
              <w:rPr>
                <w:rFonts w:eastAsia="Aptos"/>
              </w:rPr>
            </w:pPr>
            <w:r w:rsidRPr="0039197C">
              <w:rPr>
                <w:rFonts w:eastAsia="Aptos"/>
              </w:rPr>
              <w:t xml:space="preserve">9439.3  </w:t>
            </w:r>
            <w:proofErr w:type="gramStart"/>
            <w:r w:rsidRPr="0039197C">
              <w:rPr>
                <w:rFonts w:eastAsia="Aptos"/>
              </w:rPr>
              <w:t xml:space="preserve">   (</w:t>
            </w:r>
            <w:proofErr w:type="gramEnd"/>
            <w:r w:rsidRPr="0039197C">
              <w:rPr>
                <w:rFonts w:eastAsia="Aptos"/>
              </w:rPr>
              <w:t>9210.8)</w:t>
            </w:r>
          </w:p>
        </w:tc>
      </w:tr>
      <w:tr w:rsidR="0039197C" w:rsidRPr="0039197C" w14:paraId="7CFA0A24" w14:textId="77777777" w:rsidTr="00D14AD2">
        <w:tc>
          <w:tcPr>
            <w:tcW w:w="1870" w:type="dxa"/>
            <w:tcBorders>
              <w:top w:val="nil"/>
              <w:left w:val="nil"/>
              <w:bottom w:val="nil"/>
              <w:right w:val="nil"/>
            </w:tcBorders>
          </w:tcPr>
          <w:p w14:paraId="64423A3B" w14:textId="77777777" w:rsidR="0039197C" w:rsidRPr="0039197C" w:rsidRDefault="0039197C" w:rsidP="0039197C">
            <w:pPr>
              <w:jc w:val="right"/>
              <w:rPr>
                <w:rFonts w:eastAsia="Aptos"/>
              </w:rPr>
            </w:pPr>
            <w:r w:rsidRPr="0039197C">
              <w:rPr>
                <w:rFonts w:eastAsia="Aptos"/>
              </w:rPr>
              <w:t>Architecture &amp; Construction</w:t>
            </w:r>
          </w:p>
        </w:tc>
        <w:tc>
          <w:tcPr>
            <w:tcW w:w="1870" w:type="dxa"/>
            <w:tcBorders>
              <w:top w:val="nil"/>
              <w:left w:val="nil"/>
              <w:bottom w:val="nil"/>
              <w:right w:val="nil"/>
            </w:tcBorders>
          </w:tcPr>
          <w:p w14:paraId="5BC0DAA6" w14:textId="77777777" w:rsidR="0039197C" w:rsidRPr="0039197C" w:rsidRDefault="0039197C" w:rsidP="0039197C">
            <w:pPr>
              <w:jc w:val="center"/>
              <w:rPr>
                <w:rFonts w:eastAsia="Aptos"/>
              </w:rPr>
            </w:pPr>
            <w:r w:rsidRPr="0039197C">
              <w:rPr>
                <w:rFonts w:eastAsia="Aptos"/>
              </w:rPr>
              <w:t xml:space="preserve">7724.3 </w:t>
            </w:r>
          </w:p>
          <w:p w14:paraId="1090FDC1" w14:textId="77777777" w:rsidR="0039197C" w:rsidRPr="0039197C" w:rsidRDefault="0039197C" w:rsidP="0039197C">
            <w:pPr>
              <w:jc w:val="center"/>
              <w:rPr>
                <w:rFonts w:eastAsia="Aptos"/>
              </w:rPr>
            </w:pPr>
            <w:r w:rsidRPr="0039197C">
              <w:rPr>
                <w:rFonts w:eastAsia="Aptos"/>
              </w:rPr>
              <w:t xml:space="preserve"> (6559.1)</w:t>
            </w:r>
          </w:p>
        </w:tc>
        <w:tc>
          <w:tcPr>
            <w:tcW w:w="1870" w:type="dxa"/>
            <w:tcBorders>
              <w:top w:val="nil"/>
              <w:left w:val="nil"/>
              <w:bottom w:val="nil"/>
              <w:right w:val="nil"/>
            </w:tcBorders>
          </w:tcPr>
          <w:p w14:paraId="25639AB9" w14:textId="77777777" w:rsidR="0039197C" w:rsidRPr="0039197C" w:rsidRDefault="0039197C" w:rsidP="0039197C">
            <w:pPr>
              <w:jc w:val="center"/>
              <w:rPr>
                <w:rFonts w:eastAsia="Aptos"/>
              </w:rPr>
            </w:pPr>
            <w:r w:rsidRPr="0039197C">
              <w:rPr>
                <w:rFonts w:eastAsia="Aptos"/>
              </w:rPr>
              <w:t xml:space="preserve">7791.9 </w:t>
            </w:r>
            <w:proofErr w:type="gramStart"/>
            <w:r w:rsidRPr="0039197C">
              <w:rPr>
                <w:rFonts w:eastAsia="Aptos"/>
              </w:rPr>
              <w:t xml:space="preserve">   (</w:t>
            </w:r>
            <w:proofErr w:type="gramEnd"/>
            <w:r w:rsidRPr="0039197C">
              <w:rPr>
                <w:rFonts w:eastAsia="Aptos"/>
              </w:rPr>
              <w:t>6543.5)</w:t>
            </w:r>
          </w:p>
        </w:tc>
        <w:tc>
          <w:tcPr>
            <w:tcW w:w="1870" w:type="dxa"/>
            <w:tcBorders>
              <w:top w:val="nil"/>
              <w:left w:val="nil"/>
              <w:bottom w:val="nil"/>
              <w:right w:val="nil"/>
            </w:tcBorders>
          </w:tcPr>
          <w:p w14:paraId="79337B3A" w14:textId="77777777" w:rsidR="0039197C" w:rsidRPr="0039197C" w:rsidRDefault="0039197C" w:rsidP="0039197C">
            <w:pPr>
              <w:jc w:val="center"/>
              <w:rPr>
                <w:rFonts w:eastAsia="Aptos"/>
              </w:rPr>
            </w:pPr>
            <w:r w:rsidRPr="0039197C">
              <w:rPr>
                <w:rFonts w:eastAsia="Aptos"/>
              </w:rPr>
              <w:t xml:space="preserve">6916.8  </w:t>
            </w:r>
          </w:p>
          <w:p w14:paraId="470B5FF9" w14:textId="77777777" w:rsidR="0039197C" w:rsidRPr="0039197C" w:rsidRDefault="0039197C" w:rsidP="0039197C">
            <w:pPr>
              <w:jc w:val="center"/>
              <w:rPr>
                <w:rFonts w:eastAsia="Aptos"/>
              </w:rPr>
            </w:pPr>
            <w:r w:rsidRPr="0039197C">
              <w:rPr>
                <w:rFonts w:eastAsia="Aptos"/>
              </w:rPr>
              <w:t>(6703.3)</w:t>
            </w:r>
          </w:p>
        </w:tc>
        <w:tc>
          <w:tcPr>
            <w:tcW w:w="1870" w:type="dxa"/>
            <w:tcBorders>
              <w:top w:val="nil"/>
              <w:left w:val="nil"/>
              <w:bottom w:val="nil"/>
              <w:right w:val="nil"/>
            </w:tcBorders>
          </w:tcPr>
          <w:p w14:paraId="1A6DAFB2" w14:textId="77777777" w:rsidR="0039197C" w:rsidRPr="0039197C" w:rsidRDefault="0039197C" w:rsidP="0039197C">
            <w:pPr>
              <w:jc w:val="center"/>
              <w:rPr>
                <w:rFonts w:eastAsia="Aptos"/>
              </w:rPr>
            </w:pPr>
            <w:r w:rsidRPr="0039197C">
              <w:rPr>
                <w:rFonts w:eastAsia="Aptos"/>
              </w:rPr>
              <w:t xml:space="preserve">7170.2 </w:t>
            </w:r>
            <w:proofErr w:type="gramStart"/>
            <w:r w:rsidRPr="0039197C">
              <w:rPr>
                <w:rFonts w:eastAsia="Aptos"/>
              </w:rPr>
              <w:t xml:space="preserve">   (</w:t>
            </w:r>
            <w:proofErr w:type="gramEnd"/>
            <w:r w:rsidRPr="0039197C">
              <w:rPr>
                <w:rFonts w:eastAsia="Aptos"/>
              </w:rPr>
              <w:t>6479.3)</w:t>
            </w:r>
          </w:p>
        </w:tc>
      </w:tr>
      <w:tr w:rsidR="0039197C" w:rsidRPr="0039197C" w14:paraId="5EB19D66" w14:textId="77777777" w:rsidTr="00D14AD2">
        <w:tc>
          <w:tcPr>
            <w:tcW w:w="1870" w:type="dxa"/>
            <w:tcBorders>
              <w:top w:val="nil"/>
              <w:left w:val="nil"/>
              <w:bottom w:val="nil"/>
              <w:right w:val="nil"/>
            </w:tcBorders>
          </w:tcPr>
          <w:p w14:paraId="1F63F60D" w14:textId="77777777" w:rsidR="0039197C" w:rsidRPr="0039197C" w:rsidRDefault="0039197C" w:rsidP="0039197C">
            <w:pPr>
              <w:jc w:val="center"/>
              <w:rPr>
                <w:rFonts w:eastAsia="Aptos"/>
              </w:rPr>
            </w:pPr>
            <w:r w:rsidRPr="0039197C">
              <w:rPr>
                <w:rFonts w:eastAsia="Aptos"/>
                <w:i/>
                <w:iCs/>
              </w:rPr>
              <w:t>Separations – All Clusters</w:t>
            </w:r>
          </w:p>
        </w:tc>
        <w:tc>
          <w:tcPr>
            <w:tcW w:w="1870" w:type="dxa"/>
            <w:tcBorders>
              <w:top w:val="nil"/>
              <w:left w:val="nil"/>
              <w:bottom w:val="nil"/>
              <w:right w:val="nil"/>
            </w:tcBorders>
          </w:tcPr>
          <w:p w14:paraId="58E304A6" w14:textId="77777777" w:rsidR="0039197C" w:rsidRPr="0039197C" w:rsidRDefault="0039197C" w:rsidP="0039197C">
            <w:pPr>
              <w:jc w:val="center"/>
              <w:rPr>
                <w:rFonts w:eastAsia="Aptos"/>
              </w:rPr>
            </w:pPr>
            <w:r w:rsidRPr="0039197C">
              <w:rPr>
                <w:rFonts w:eastAsia="Aptos"/>
              </w:rPr>
              <w:t>11542</w:t>
            </w:r>
          </w:p>
          <w:p w14:paraId="1836296D" w14:textId="77777777" w:rsidR="0039197C" w:rsidRPr="0039197C" w:rsidRDefault="0039197C" w:rsidP="0039197C">
            <w:pPr>
              <w:jc w:val="center"/>
              <w:rPr>
                <w:rFonts w:eastAsia="Aptos"/>
              </w:rPr>
            </w:pPr>
            <w:r w:rsidRPr="0039197C">
              <w:rPr>
                <w:rFonts w:eastAsia="Aptos"/>
              </w:rPr>
              <w:t>(16050.1)</w:t>
            </w:r>
          </w:p>
        </w:tc>
        <w:tc>
          <w:tcPr>
            <w:tcW w:w="1870" w:type="dxa"/>
            <w:tcBorders>
              <w:top w:val="nil"/>
              <w:left w:val="nil"/>
              <w:bottom w:val="nil"/>
              <w:right w:val="nil"/>
            </w:tcBorders>
          </w:tcPr>
          <w:p w14:paraId="70DFFB42" w14:textId="77777777" w:rsidR="0039197C" w:rsidRPr="0039197C" w:rsidRDefault="0039197C" w:rsidP="0039197C">
            <w:pPr>
              <w:jc w:val="center"/>
              <w:rPr>
                <w:rFonts w:eastAsia="Aptos"/>
              </w:rPr>
            </w:pPr>
            <w:r w:rsidRPr="0039197C">
              <w:rPr>
                <w:rFonts w:eastAsia="Aptos"/>
              </w:rPr>
              <w:t>11617.5</w:t>
            </w:r>
            <w:proofErr w:type="gramStart"/>
            <w:r w:rsidRPr="0039197C">
              <w:rPr>
                <w:rFonts w:eastAsia="Aptos"/>
              </w:rPr>
              <w:t xml:space="preserve">   (</w:t>
            </w:r>
            <w:proofErr w:type="gramEnd"/>
            <w:r w:rsidRPr="0039197C">
              <w:rPr>
                <w:rFonts w:eastAsia="Aptos"/>
              </w:rPr>
              <w:t>16117.1)</w:t>
            </w:r>
          </w:p>
        </w:tc>
        <w:tc>
          <w:tcPr>
            <w:tcW w:w="1870" w:type="dxa"/>
            <w:tcBorders>
              <w:top w:val="nil"/>
              <w:left w:val="nil"/>
              <w:bottom w:val="nil"/>
              <w:right w:val="nil"/>
            </w:tcBorders>
          </w:tcPr>
          <w:p w14:paraId="5BB709D0" w14:textId="77777777" w:rsidR="0039197C" w:rsidRPr="0039197C" w:rsidRDefault="0039197C" w:rsidP="0039197C">
            <w:pPr>
              <w:jc w:val="center"/>
              <w:rPr>
                <w:rFonts w:eastAsia="Aptos"/>
              </w:rPr>
            </w:pPr>
            <w:r w:rsidRPr="0039197C">
              <w:rPr>
                <w:rFonts w:eastAsia="Aptos"/>
              </w:rPr>
              <w:t xml:space="preserve">10483.1 </w:t>
            </w:r>
            <w:proofErr w:type="gramStart"/>
            <w:r w:rsidRPr="0039197C">
              <w:rPr>
                <w:rFonts w:eastAsia="Aptos"/>
              </w:rPr>
              <w:t xml:space="preserve">   (</w:t>
            </w:r>
            <w:proofErr w:type="gramEnd"/>
            <w:r w:rsidRPr="0039197C">
              <w:rPr>
                <w:rFonts w:eastAsia="Aptos"/>
              </w:rPr>
              <w:t>15041.1)</w:t>
            </w:r>
          </w:p>
        </w:tc>
        <w:tc>
          <w:tcPr>
            <w:tcW w:w="1870" w:type="dxa"/>
            <w:tcBorders>
              <w:top w:val="nil"/>
              <w:left w:val="nil"/>
              <w:bottom w:val="nil"/>
              <w:right w:val="nil"/>
            </w:tcBorders>
          </w:tcPr>
          <w:p w14:paraId="18004DB3" w14:textId="77777777" w:rsidR="0039197C" w:rsidRPr="0039197C" w:rsidRDefault="0039197C" w:rsidP="0039197C">
            <w:pPr>
              <w:jc w:val="center"/>
              <w:rPr>
                <w:rFonts w:eastAsia="Aptos"/>
              </w:rPr>
            </w:pPr>
            <w:r w:rsidRPr="0039197C">
              <w:rPr>
                <w:rFonts w:eastAsia="Aptos"/>
              </w:rPr>
              <w:t xml:space="preserve">10214.8 </w:t>
            </w:r>
            <w:proofErr w:type="gramStart"/>
            <w:r w:rsidRPr="0039197C">
              <w:rPr>
                <w:rFonts w:eastAsia="Aptos"/>
              </w:rPr>
              <w:t xml:space="preserve">   (</w:t>
            </w:r>
            <w:proofErr w:type="gramEnd"/>
            <w:r w:rsidRPr="0039197C">
              <w:rPr>
                <w:rFonts w:eastAsia="Aptos"/>
              </w:rPr>
              <w:t>14817.3)</w:t>
            </w:r>
          </w:p>
        </w:tc>
      </w:tr>
      <w:tr w:rsidR="0039197C" w:rsidRPr="0039197C" w14:paraId="021DC98D" w14:textId="77777777" w:rsidTr="00D14AD2">
        <w:tc>
          <w:tcPr>
            <w:tcW w:w="1870" w:type="dxa"/>
            <w:tcBorders>
              <w:top w:val="nil"/>
              <w:left w:val="nil"/>
              <w:bottom w:val="nil"/>
              <w:right w:val="nil"/>
            </w:tcBorders>
          </w:tcPr>
          <w:p w14:paraId="5EF035EF" w14:textId="77777777" w:rsidR="0039197C" w:rsidRPr="0039197C" w:rsidRDefault="0039197C" w:rsidP="0039197C">
            <w:pPr>
              <w:jc w:val="right"/>
              <w:rPr>
                <w:rFonts w:eastAsia="Aptos"/>
              </w:rPr>
            </w:pPr>
            <w:r w:rsidRPr="0039197C">
              <w:rPr>
                <w:rFonts w:eastAsia="Aptos"/>
              </w:rPr>
              <w:t>Information Technology</w:t>
            </w:r>
          </w:p>
        </w:tc>
        <w:tc>
          <w:tcPr>
            <w:tcW w:w="1870" w:type="dxa"/>
            <w:tcBorders>
              <w:top w:val="nil"/>
              <w:left w:val="nil"/>
              <w:bottom w:val="nil"/>
              <w:right w:val="nil"/>
            </w:tcBorders>
          </w:tcPr>
          <w:p w14:paraId="4051F089" w14:textId="77777777" w:rsidR="0039197C" w:rsidRPr="0039197C" w:rsidRDefault="0039197C" w:rsidP="0039197C">
            <w:pPr>
              <w:jc w:val="center"/>
              <w:rPr>
                <w:rFonts w:eastAsia="Aptos"/>
              </w:rPr>
            </w:pPr>
            <w:r w:rsidRPr="0039197C">
              <w:rPr>
                <w:rFonts w:eastAsia="Aptos"/>
              </w:rPr>
              <w:t xml:space="preserve">2464.6 </w:t>
            </w:r>
            <w:proofErr w:type="gramStart"/>
            <w:r w:rsidRPr="0039197C">
              <w:rPr>
                <w:rFonts w:eastAsia="Aptos"/>
              </w:rPr>
              <w:t xml:space="preserve">   (</w:t>
            </w:r>
            <w:proofErr w:type="gramEnd"/>
            <w:r w:rsidRPr="0039197C">
              <w:rPr>
                <w:rFonts w:eastAsia="Aptos"/>
              </w:rPr>
              <w:t>2221.7)</w:t>
            </w:r>
          </w:p>
        </w:tc>
        <w:tc>
          <w:tcPr>
            <w:tcW w:w="1870" w:type="dxa"/>
            <w:tcBorders>
              <w:top w:val="nil"/>
              <w:left w:val="nil"/>
              <w:bottom w:val="nil"/>
              <w:right w:val="nil"/>
            </w:tcBorders>
          </w:tcPr>
          <w:p w14:paraId="22858207" w14:textId="77777777" w:rsidR="0039197C" w:rsidRPr="0039197C" w:rsidRDefault="0039197C" w:rsidP="0039197C">
            <w:pPr>
              <w:jc w:val="center"/>
              <w:rPr>
                <w:rFonts w:eastAsia="Aptos"/>
              </w:rPr>
            </w:pPr>
            <w:r w:rsidRPr="0039197C">
              <w:rPr>
                <w:rFonts w:eastAsia="Aptos"/>
              </w:rPr>
              <w:t xml:space="preserve">2476.6 </w:t>
            </w:r>
            <w:proofErr w:type="gramStart"/>
            <w:r w:rsidRPr="0039197C">
              <w:rPr>
                <w:rFonts w:eastAsia="Aptos"/>
              </w:rPr>
              <w:t xml:space="preserve">   (</w:t>
            </w:r>
            <w:proofErr w:type="gramEnd"/>
            <w:r w:rsidRPr="0039197C">
              <w:rPr>
                <w:rFonts w:eastAsia="Aptos"/>
              </w:rPr>
              <w:t>2224.6)</w:t>
            </w:r>
          </w:p>
        </w:tc>
        <w:tc>
          <w:tcPr>
            <w:tcW w:w="1870" w:type="dxa"/>
            <w:tcBorders>
              <w:top w:val="nil"/>
              <w:left w:val="nil"/>
              <w:bottom w:val="nil"/>
              <w:right w:val="nil"/>
            </w:tcBorders>
          </w:tcPr>
          <w:p w14:paraId="76D9FA3E" w14:textId="77777777" w:rsidR="0039197C" w:rsidRPr="0039197C" w:rsidRDefault="0039197C" w:rsidP="0039197C">
            <w:pPr>
              <w:jc w:val="center"/>
              <w:rPr>
                <w:rFonts w:eastAsia="Aptos"/>
              </w:rPr>
            </w:pPr>
            <w:r w:rsidRPr="0039197C">
              <w:rPr>
                <w:rFonts w:eastAsia="Aptos"/>
              </w:rPr>
              <w:t xml:space="preserve">2298.5 </w:t>
            </w:r>
            <w:proofErr w:type="gramStart"/>
            <w:r w:rsidRPr="0039197C">
              <w:rPr>
                <w:rFonts w:eastAsia="Aptos"/>
              </w:rPr>
              <w:t xml:space="preserve">   (</w:t>
            </w:r>
            <w:proofErr w:type="gramEnd"/>
            <w:r w:rsidRPr="0039197C">
              <w:rPr>
                <w:rFonts w:eastAsia="Aptos"/>
              </w:rPr>
              <w:t>2176.2)</w:t>
            </w:r>
          </w:p>
        </w:tc>
        <w:tc>
          <w:tcPr>
            <w:tcW w:w="1870" w:type="dxa"/>
            <w:tcBorders>
              <w:top w:val="nil"/>
              <w:left w:val="nil"/>
              <w:bottom w:val="nil"/>
              <w:right w:val="nil"/>
            </w:tcBorders>
          </w:tcPr>
          <w:p w14:paraId="2362031A" w14:textId="77777777" w:rsidR="0039197C" w:rsidRPr="0039197C" w:rsidRDefault="0039197C" w:rsidP="0039197C">
            <w:pPr>
              <w:jc w:val="center"/>
              <w:rPr>
                <w:rFonts w:eastAsia="Aptos"/>
              </w:rPr>
            </w:pPr>
            <w:r w:rsidRPr="0039197C">
              <w:rPr>
                <w:rFonts w:eastAsia="Aptos"/>
              </w:rPr>
              <w:t>2371.7</w:t>
            </w:r>
            <w:proofErr w:type="gramStart"/>
            <w:r w:rsidRPr="0039197C">
              <w:rPr>
                <w:rFonts w:eastAsia="Aptos"/>
              </w:rPr>
              <w:t xml:space="preserve">   (</w:t>
            </w:r>
            <w:proofErr w:type="gramEnd"/>
            <w:r w:rsidRPr="0039197C">
              <w:rPr>
                <w:rFonts w:eastAsia="Aptos"/>
              </w:rPr>
              <w:t>2122.1)</w:t>
            </w:r>
          </w:p>
        </w:tc>
      </w:tr>
      <w:tr w:rsidR="0039197C" w:rsidRPr="0039197C" w14:paraId="5781D95D" w14:textId="77777777" w:rsidTr="00D14AD2">
        <w:tc>
          <w:tcPr>
            <w:tcW w:w="1870" w:type="dxa"/>
            <w:tcBorders>
              <w:top w:val="nil"/>
              <w:left w:val="nil"/>
              <w:bottom w:val="nil"/>
              <w:right w:val="nil"/>
            </w:tcBorders>
          </w:tcPr>
          <w:p w14:paraId="4BC9D62D" w14:textId="77777777" w:rsidR="0039197C" w:rsidRPr="0039197C" w:rsidRDefault="0039197C" w:rsidP="0039197C">
            <w:pPr>
              <w:jc w:val="right"/>
              <w:rPr>
                <w:rFonts w:eastAsia="Aptos"/>
              </w:rPr>
            </w:pPr>
            <w:r w:rsidRPr="0039197C">
              <w:rPr>
                <w:rFonts w:eastAsia="Aptos"/>
              </w:rPr>
              <w:t>Engineering</w:t>
            </w:r>
          </w:p>
        </w:tc>
        <w:tc>
          <w:tcPr>
            <w:tcW w:w="1870" w:type="dxa"/>
            <w:tcBorders>
              <w:top w:val="nil"/>
              <w:left w:val="nil"/>
              <w:bottom w:val="nil"/>
              <w:right w:val="nil"/>
            </w:tcBorders>
          </w:tcPr>
          <w:p w14:paraId="192A5FC8" w14:textId="77777777" w:rsidR="0039197C" w:rsidRPr="0039197C" w:rsidRDefault="0039197C" w:rsidP="0039197C">
            <w:pPr>
              <w:jc w:val="center"/>
              <w:rPr>
                <w:rFonts w:eastAsia="Aptos"/>
              </w:rPr>
            </w:pPr>
            <w:r w:rsidRPr="0039197C">
              <w:rPr>
                <w:rFonts w:eastAsia="Aptos"/>
              </w:rPr>
              <w:t>9542.1</w:t>
            </w:r>
            <w:proofErr w:type="gramStart"/>
            <w:r w:rsidRPr="0039197C">
              <w:rPr>
                <w:rFonts w:eastAsia="Aptos"/>
              </w:rPr>
              <w:t xml:space="preserve">   (</w:t>
            </w:r>
            <w:proofErr w:type="gramEnd"/>
            <w:r w:rsidRPr="0039197C">
              <w:rPr>
                <w:rFonts w:eastAsia="Aptos"/>
              </w:rPr>
              <w:t>9009.4)</w:t>
            </w:r>
          </w:p>
        </w:tc>
        <w:tc>
          <w:tcPr>
            <w:tcW w:w="1870" w:type="dxa"/>
            <w:tcBorders>
              <w:top w:val="nil"/>
              <w:left w:val="nil"/>
              <w:bottom w:val="nil"/>
              <w:right w:val="nil"/>
            </w:tcBorders>
          </w:tcPr>
          <w:p w14:paraId="09A94790" w14:textId="77777777" w:rsidR="0039197C" w:rsidRPr="0039197C" w:rsidRDefault="0039197C" w:rsidP="0039197C">
            <w:pPr>
              <w:jc w:val="center"/>
              <w:rPr>
                <w:rFonts w:eastAsia="Aptos"/>
              </w:rPr>
            </w:pPr>
            <w:r w:rsidRPr="0039197C">
              <w:rPr>
                <w:rFonts w:eastAsia="Aptos"/>
              </w:rPr>
              <w:t xml:space="preserve">9681.1 </w:t>
            </w:r>
            <w:proofErr w:type="gramStart"/>
            <w:r w:rsidRPr="0039197C">
              <w:rPr>
                <w:rFonts w:eastAsia="Aptos"/>
              </w:rPr>
              <w:t xml:space="preserve">   (</w:t>
            </w:r>
            <w:proofErr w:type="gramEnd"/>
            <w:r w:rsidRPr="0039197C">
              <w:rPr>
                <w:rFonts w:eastAsia="Aptos"/>
              </w:rPr>
              <w:t>9059.8)</w:t>
            </w:r>
          </w:p>
        </w:tc>
        <w:tc>
          <w:tcPr>
            <w:tcW w:w="1870" w:type="dxa"/>
            <w:tcBorders>
              <w:top w:val="nil"/>
              <w:left w:val="nil"/>
              <w:bottom w:val="nil"/>
              <w:right w:val="nil"/>
            </w:tcBorders>
          </w:tcPr>
          <w:p w14:paraId="3E2B12DD" w14:textId="77777777" w:rsidR="0039197C" w:rsidRPr="0039197C" w:rsidRDefault="0039197C" w:rsidP="0039197C">
            <w:pPr>
              <w:jc w:val="center"/>
              <w:rPr>
                <w:rFonts w:eastAsia="Aptos"/>
              </w:rPr>
            </w:pPr>
            <w:r w:rsidRPr="0039197C">
              <w:rPr>
                <w:rFonts w:eastAsia="Aptos"/>
              </w:rPr>
              <w:t xml:space="preserve">7843.2  </w:t>
            </w:r>
            <w:proofErr w:type="gramStart"/>
            <w:r w:rsidRPr="0039197C">
              <w:rPr>
                <w:rFonts w:eastAsia="Aptos"/>
              </w:rPr>
              <w:t xml:space="preserve">   (</w:t>
            </w:r>
            <w:proofErr w:type="gramEnd"/>
            <w:r w:rsidRPr="0039197C">
              <w:rPr>
                <w:rFonts w:eastAsia="Aptos"/>
              </w:rPr>
              <w:t>8188.7)</w:t>
            </w:r>
          </w:p>
        </w:tc>
        <w:tc>
          <w:tcPr>
            <w:tcW w:w="1870" w:type="dxa"/>
            <w:tcBorders>
              <w:top w:val="nil"/>
              <w:left w:val="nil"/>
              <w:bottom w:val="nil"/>
              <w:right w:val="nil"/>
            </w:tcBorders>
          </w:tcPr>
          <w:p w14:paraId="157F80EE" w14:textId="77777777" w:rsidR="0039197C" w:rsidRPr="0039197C" w:rsidRDefault="0039197C" w:rsidP="0039197C">
            <w:pPr>
              <w:jc w:val="center"/>
              <w:rPr>
                <w:rFonts w:eastAsia="Aptos"/>
              </w:rPr>
            </w:pPr>
            <w:r w:rsidRPr="0039197C">
              <w:rPr>
                <w:rFonts w:eastAsia="Aptos"/>
              </w:rPr>
              <w:t xml:space="preserve">8597.8 </w:t>
            </w:r>
            <w:proofErr w:type="gramStart"/>
            <w:r w:rsidRPr="0039197C">
              <w:rPr>
                <w:rFonts w:eastAsia="Aptos"/>
              </w:rPr>
              <w:t xml:space="preserve">   (</w:t>
            </w:r>
            <w:proofErr w:type="gramEnd"/>
            <w:r w:rsidRPr="0039197C">
              <w:rPr>
                <w:rFonts w:eastAsia="Aptos"/>
              </w:rPr>
              <w:t>8260.8)</w:t>
            </w:r>
          </w:p>
        </w:tc>
      </w:tr>
      <w:tr w:rsidR="0039197C" w:rsidRPr="0039197C" w14:paraId="23AA4DBB" w14:textId="77777777" w:rsidTr="00D14AD2">
        <w:tc>
          <w:tcPr>
            <w:tcW w:w="1870" w:type="dxa"/>
            <w:tcBorders>
              <w:top w:val="nil"/>
              <w:left w:val="nil"/>
              <w:bottom w:val="single" w:sz="4" w:space="0" w:color="auto"/>
              <w:right w:val="nil"/>
            </w:tcBorders>
          </w:tcPr>
          <w:p w14:paraId="2B7CB9C0" w14:textId="77777777" w:rsidR="0039197C" w:rsidRPr="0039197C" w:rsidRDefault="0039197C" w:rsidP="0039197C">
            <w:pPr>
              <w:jc w:val="right"/>
              <w:rPr>
                <w:rFonts w:eastAsia="Aptos"/>
              </w:rPr>
            </w:pPr>
            <w:r w:rsidRPr="0039197C">
              <w:rPr>
                <w:rFonts w:eastAsia="Aptos"/>
              </w:rPr>
              <w:t>Architecture &amp; Construction</w:t>
            </w:r>
          </w:p>
        </w:tc>
        <w:tc>
          <w:tcPr>
            <w:tcW w:w="1870" w:type="dxa"/>
            <w:tcBorders>
              <w:top w:val="nil"/>
              <w:left w:val="nil"/>
              <w:bottom w:val="single" w:sz="4" w:space="0" w:color="auto"/>
              <w:right w:val="nil"/>
            </w:tcBorders>
          </w:tcPr>
          <w:p w14:paraId="6AEEC2FB" w14:textId="77777777" w:rsidR="0039197C" w:rsidRPr="0039197C" w:rsidRDefault="0039197C" w:rsidP="0039197C">
            <w:pPr>
              <w:jc w:val="center"/>
              <w:rPr>
                <w:rFonts w:eastAsia="Aptos"/>
              </w:rPr>
            </w:pPr>
            <w:r w:rsidRPr="0039197C">
              <w:rPr>
                <w:rFonts w:eastAsia="Aptos"/>
              </w:rPr>
              <w:t xml:space="preserve">7383.4 </w:t>
            </w:r>
            <w:proofErr w:type="gramStart"/>
            <w:r w:rsidRPr="0039197C">
              <w:rPr>
                <w:rFonts w:eastAsia="Aptos"/>
              </w:rPr>
              <w:t xml:space="preserve">   (</w:t>
            </w:r>
            <w:proofErr w:type="gramEnd"/>
            <w:r w:rsidRPr="0039197C">
              <w:rPr>
                <w:rFonts w:eastAsia="Aptos"/>
              </w:rPr>
              <w:t>6242.9)</w:t>
            </w:r>
          </w:p>
        </w:tc>
        <w:tc>
          <w:tcPr>
            <w:tcW w:w="1870" w:type="dxa"/>
            <w:tcBorders>
              <w:top w:val="nil"/>
              <w:left w:val="nil"/>
              <w:bottom w:val="single" w:sz="4" w:space="0" w:color="auto"/>
              <w:right w:val="nil"/>
            </w:tcBorders>
          </w:tcPr>
          <w:p w14:paraId="64BAF4EB" w14:textId="77777777" w:rsidR="0039197C" w:rsidRPr="0039197C" w:rsidRDefault="0039197C" w:rsidP="0039197C">
            <w:pPr>
              <w:jc w:val="center"/>
              <w:rPr>
                <w:rFonts w:eastAsia="Aptos"/>
              </w:rPr>
            </w:pPr>
            <w:r w:rsidRPr="0039197C">
              <w:rPr>
                <w:rFonts w:eastAsia="Aptos"/>
              </w:rPr>
              <w:t xml:space="preserve">7452.6 </w:t>
            </w:r>
            <w:proofErr w:type="gramStart"/>
            <w:r w:rsidRPr="0039197C">
              <w:rPr>
                <w:rFonts w:eastAsia="Aptos"/>
              </w:rPr>
              <w:t xml:space="preserve">   (</w:t>
            </w:r>
            <w:proofErr w:type="gramEnd"/>
            <w:r w:rsidRPr="0039197C">
              <w:rPr>
                <w:rFonts w:eastAsia="Aptos"/>
              </w:rPr>
              <w:t>6232.1)</w:t>
            </w:r>
          </w:p>
        </w:tc>
        <w:tc>
          <w:tcPr>
            <w:tcW w:w="1870" w:type="dxa"/>
            <w:tcBorders>
              <w:top w:val="nil"/>
              <w:left w:val="nil"/>
              <w:bottom w:val="single" w:sz="4" w:space="0" w:color="auto"/>
              <w:right w:val="nil"/>
            </w:tcBorders>
          </w:tcPr>
          <w:p w14:paraId="7352BE33" w14:textId="77777777" w:rsidR="0039197C" w:rsidRPr="0039197C" w:rsidRDefault="0039197C" w:rsidP="0039197C">
            <w:pPr>
              <w:jc w:val="center"/>
              <w:rPr>
                <w:rFonts w:eastAsia="Aptos"/>
              </w:rPr>
            </w:pPr>
            <w:r w:rsidRPr="0039197C">
              <w:rPr>
                <w:rFonts w:eastAsia="Aptos"/>
              </w:rPr>
              <w:t>6556.7</w:t>
            </w:r>
            <w:proofErr w:type="gramStart"/>
            <w:r w:rsidRPr="0039197C">
              <w:rPr>
                <w:rFonts w:eastAsia="Aptos"/>
              </w:rPr>
              <w:t xml:space="preserve">   (</w:t>
            </w:r>
            <w:proofErr w:type="gramEnd"/>
            <w:r w:rsidRPr="0039197C">
              <w:rPr>
                <w:rFonts w:eastAsia="Aptos"/>
              </w:rPr>
              <w:t>6324.1)</w:t>
            </w:r>
          </w:p>
        </w:tc>
        <w:tc>
          <w:tcPr>
            <w:tcW w:w="1870" w:type="dxa"/>
            <w:tcBorders>
              <w:top w:val="nil"/>
              <w:left w:val="nil"/>
              <w:bottom w:val="single" w:sz="4" w:space="0" w:color="auto"/>
              <w:right w:val="nil"/>
            </w:tcBorders>
          </w:tcPr>
          <w:p w14:paraId="48579AC5" w14:textId="77777777" w:rsidR="0039197C" w:rsidRPr="0039197C" w:rsidRDefault="0039197C" w:rsidP="0039197C">
            <w:pPr>
              <w:jc w:val="center"/>
              <w:rPr>
                <w:rFonts w:eastAsia="Aptos"/>
              </w:rPr>
            </w:pPr>
            <w:r w:rsidRPr="0039197C">
              <w:rPr>
                <w:rFonts w:eastAsia="Aptos"/>
              </w:rPr>
              <w:t xml:space="preserve">6764.1 </w:t>
            </w:r>
          </w:p>
          <w:p w14:paraId="63D9554D" w14:textId="77777777" w:rsidR="0039197C" w:rsidRPr="0039197C" w:rsidRDefault="0039197C" w:rsidP="0039197C">
            <w:pPr>
              <w:jc w:val="center"/>
              <w:rPr>
                <w:rFonts w:eastAsia="Aptos"/>
              </w:rPr>
            </w:pPr>
            <w:r w:rsidRPr="0039197C">
              <w:rPr>
                <w:rFonts w:eastAsia="Aptos"/>
              </w:rPr>
              <w:t xml:space="preserve"> (6077.7)</w:t>
            </w:r>
          </w:p>
        </w:tc>
      </w:tr>
    </w:tbl>
    <w:p w14:paraId="5774C1D8" w14:textId="77777777" w:rsidR="0039197C" w:rsidRPr="0039197C" w:rsidRDefault="0039197C" w:rsidP="0039197C">
      <w:pPr>
        <w:spacing w:after="160"/>
        <w:ind w:firstLine="0"/>
        <w:jc w:val="left"/>
        <w:rPr>
          <w:rFonts w:eastAsia="Aptos"/>
          <w:kern w:val="2"/>
          <w14:ligatures w14:val="standardContextual"/>
        </w:rPr>
      </w:pPr>
      <w:r w:rsidRPr="0039197C">
        <w:rPr>
          <w:rFonts w:eastAsia="Aptos"/>
          <w:kern w:val="2"/>
          <w14:ligatures w14:val="standardContextual"/>
        </w:rPr>
        <w:t xml:space="preserve">Note. Unemployment rate and QWI indicators (Firm Job Gains, Hires, and Separations) are constructed from Q2 and Q3 to align with the teacher turnover decision window (April–September). GDP is reported as </w:t>
      </w:r>
      <w:proofErr w:type="gramStart"/>
      <w:r w:rsidRPr="0039197C">
        <w:rPr>
          <w:rFonts w:eastAsia="Aptos"/>
          <w:kern w:val="2"/>
          <w14:ligatures w14:val="standardContextual"/>
        </w:rPr>
        <w:t>the percentage</w:t>
      </w:r>
      <w:proofErr w:type="gramEnd"/>
      <w:r w:rsidRPr="0039197C">
        <w:rPr>
          <w:rFonts w:eastAsia="Aptos"/>
          <w:kern w:val="2"/>
          <w14:ligatures w14:val="standardContextual"/>
        </w:rPr>
        <w:t xml:space="preserve"> change from the prior year.</w:t>
      </w:r>
    </w:p>
    <w:p w14:paraId="1A805655" w14:textId="77777777" w:rsidR="00F72FF7" w:rsidRPr="00F72FF7" w:rsidRDefault="00F72FF7" w:rsidP="00F72FF7">
      <w:pPr>
        <w:spacing w:after="160"/>
        <w:ind w:firstLine="0"/>
        <w:jc w:val="left"/>
        <w:rPr>
          <w:rFonts w:eastAsia="Aptos"/>
          <w:kern w:val="2"/>
          <w14:ligatures w14:val="standardContextual"/>
        </w:rPr>
      </w:pPr>
    </w:p>
    <w:p w14:paraId="2B68567B" w14:textId="77777777" w:rsidR="00655A04" w:rsidRPr="00C356AE" w:rsidRDefault="00655A04" w:rsidP="00655A04">
      <w:pPr>
        <w:ind w:firstLine="0"/>
      </w:pPr>
    </w:p>
    <w:p w14:paraId="7CDF2049" w14:textId="77777777" w:rsidR="00D340DE" w:rsidRDefault="00D340DE" w:rsidP="007A53F6">
      <w:pPr>
        <w:spacing w:after="160" w:line="278" w:lineRule="auto"/>
        <w:ind w:firstLine="0"/>
        <w:jc w:val="left"/>
      </w:pPr>
    </w:p>
    <w:p w14:paraId="5F84AE0F" w14:textId="2D60FD38" w:rsidR="007A53F6" w:rsidRPr="007A53F6" w:rsidRDefault="007A53F6" w:rsidP="007A53F6">
      <w:pPr>
        <w:spacing w:after="160" w:line="278" w:lineRule="auto"/>
        <w:ind w:firstLine="0"/>
        <w:jc w:val="left"/>
        <w:rPr>
          <w:rFonts w:eastAsia="Aptos"/>
          <w:b/>
          <w:bCs/>
          <w:kern w:val="2"/>
          <w14:ligatures w14:val="standardContextual"/>
        </w:rPr>
      </w:pPr>
      <w:r w:rsidRPr="007A53F6">
        <w:rPr>
          <w:rFonts w:eastAsia="Aptos"/>
          <w:b/>
          <w:bCs/>
          <w:kern w:val="2"/>
          <w14:ligatures w14:val="standardContextual"/>
        </w:rPr>
        <w:lastRenderedPageBreak/>
        <w:t xml:space="preserve">Table </w:t>
      </w:r>
      <w:r>
        <w:rPr>
          <w:rFonts w:eastAsia="Aptos"/>
          <w:b/>
          <w:bCs/>
          <w:kern w:val="2"/>
          <w14:ligatures w14:val="standardContextual"/>
        </w:rPr>
        <w:t>2</w:t>
      </w:r>
      <w:r w:rsidRPr="007A53F6">
        <w:rPr>
          <w:rFonts w:eastAsia="Aptos"/>
          <w:b/>
          <w:bCs/>
          <w:kern w:val="2"/>
          <w14:ligatures w14:val="standardContextual"/>
        </w:rPr>
        <w:t>. Percentage of Courses by CTE Cluster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48"/>
        <w:gridCol w:w="2062"/>
        <w:gridCol w:w="735"/>
      </w:tblGrid>
      <w:tr w:rsidR="007A53F6" w:rsidRPr="007A53F6" w14:paraId="6588F1F5" w14:textId="77777777" w:rsidTr="00D14AD2">
        <w:trPr>
          <w:tblHeader/>
          <w:tblCellSpacing w:w="15" w:type="dxa"/>
        </w:trPr>
        <w:tc>
          <w:tcPr>
            <w:tcW w:w="0" w:type="auto"/>
            <w:tcBorders>
              <w:top w:val="single" w:sz="4" w:space="0" w:color="auto"/>
              <w:bottom w:val="single" w:sz="4" w:space="0" w:color="auto"/>
            </w:tcBorders>
            <w:vAlign w:val="center"/>
            <w:hideMark/>
          </w:tcPr>
          <w:p w14:paraId="00165FA0"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CTE Cluster</w:t>
            </w:r>
          </w:p>
        </w:tc>
        <w:tc>
          <w:tcPr>
            <w:tcW w:w="2032" w:type="dxa"/>
            <w:tcBorders>
              <w:top w:val="single" w:sz="4" w:space="0" w:color="auto"/>
              <w:bottom w:val="single" w:sz="4" w:space="0" w:color="auto"/>
            </w:tcBorders>
            <w:vAlign w:val="center"/>
            <w:hideMark/>
          </w:tcPr>
          <w:p w14:paraId="755F3F5C"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Percent of Courses</w:t>
            </w:r>
          </w:p>
        </w:tc>
        <w:tc>
          <w:tcPr>
            <w:tcW w:w="501" w:type="dxa"/>
            <w:tcBorders>
              <w:top w:val="single" w:sz="4" w:space="0" w:color="auto"/>
              <w:bottom w:val="single" w:sz="4" w:space="0" w:color="auto"/>
            </w:tcBorders>
            <w:vAlign w:val="center"/>
            <w:hideMark/>
          </w:tcPr>
          <w:p w14:paraId="620E9C24"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N</w:t>
            </w:r>
          </w:p>
        </w:tc>
      </w:tr>
      <w:tr w:rsidR="007A53F6" w:rsidRPr="007A53F6" w14:paraId="658FBA63" w14:textId="77777777" w:rsidTr="00D14AD2">
        <w:trPr>
          <w:tblCellSpacing w:w="15" w:type="dxa"/>
        </w:trPr>
        <w:tc>
          <w:tcPr>
            <w:tcW w:w="0" w:type="auto"/>
            <w:vAlign w:val="center"/>
            <w:hideMark/>
          </w:tcPr>
          <w:p w14:paraId="51B73EE3"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Arts, A/V Technology &amp; Communication</w:t>
            </w:r>
          </w:p>
        </w:tc>
        <w:tc>
          <w:tcPr>
            <w:tcW w:w="2032" w:type="dxa"/>
            <w:vAlign w:val="center"/>
            <w:hideMark/>
          </w:tcPr>
          <w:p w14:paraId="7DF4601B"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12.6</w:t>
            </w:r>
          </w:p>
        </w:tc>
        <w:tc>
          <w:tcPr>
            <w:tcW w:w="501" w:type="dxa"/>
            <w:vAlign w:val="center"/>
            <w:hideMark/>
          </w:tcPr>
          <w:p w14:paraId="2317DD41"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9,416</w:t>
            </w:r>
          </w:p>
        </w:tc>
      </w:tr>
      <w:tr w:rsidR="007A53F6" w:rsidRPr="007A53F6" w14:paraId="6F6DD9F3" w14:textId="77777777" w:rsidTr="00D14AD2">
        <w:trPr>
          <w:tblCellSpacing w:w="15" w:type="dxa"/>
        </w:trPr>
        <w:tc>
          <w:tcPr>
            <w:tcW w:w="0" w:type="auto"/>
            <w:vAlign w:val="center"/>
            <w:hideMark/>
          </w:tcPr>
          <w:p w14:paraId="55EE5582"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Hospitality &amp; Tourism</w:t>
            </w:r>
          </w:p>
        </w:tc>
        <w:tc>
          <w:tcPr>
            <w:tcW w:w="2032" w:type="dxa"/>
            <w:vAlign w:val="center"/>
            <w:hideMark/>
          </w:tcPr>
          <w:p w14:paraId="33534B7F"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10.7</w:t>
            </w:r>
          </w:p>
        </w:tc>
        <w:tc>
          <w:tcPr>
            <w:tcW w:w="501" w:type="dxa"/>
            <w:vAlign w:val="center"/>
            <w:hideMark/>
          </w:tcPr>
          <w:p w14:paraId="1D8416DD"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8,168</w:t>
            </w:r>
          </w:p>
        </w:tc>
      </w:tr>
      <w:tr w:rsidR="007A53F6" w:rsidRPr="007A53F6" w14:paraId="4B719FDD" w14:textId="77777777" w:rsidTr="00D14AD2">
        <w:trPr>
          <w:tblCellSpacing w:w="15" w:type="dxa"/>
        </w:trPr>
        <w:tc>
          <w:tcPr>
            <w:tcW w:w="0" w:type="auto"/>
            <w:vAlign w:val="center"/>
            <w:hideMark/>
          </w:tcPr>
          <w:p w14:paraId="644F2BEC"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Agriculture, Food, and Natural Resources</w:t>
            </w:r>
          </w:p>
        </w:tc>
        <w:tc>
          <w:tcPr>
            <w:tcW w:w="2032" w:type="dxa"/>
            <w:vAlign w:val="center"/>
            <w:hideMark/>
          </w:tcPr>
          <w:p w14:paraId="4C54E542"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10.4</w:t>
            </w:r>
          </w:p>
        </w:tc>
        <w:tc>
          <w:tcPr>
            <w:tcW w:w="501" w:type="dxa"/>
            <w:vAlign w:val="center"/>
            <w:hideMark/>
          </w:tcPr>
          <w:p w14:paraId="6FEBFDB9"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7,959</w:t>
            </w:r>
          </w:p>
        </w:tc>
      </w:tr>
      <w:tr w:rsidR="007A53F6" w:rsidRPr="007A53F6" w14:paraId="6C01DB13" w14:textId="77777777" w:rsidTr="00D14AD2">
        <w:trPr>
          <w:tblCellSpacing w:w="15" w:type="dxa"/>
        </w:trPr>
        <w:tc>
          <w:tcPr>
            <w:tcW w:w="0" w:type="auto"/>
            <w:vAlign w:val="center"/>
            <w:hideMark/>
          </w:tcPr>
          <w:p w14:paraId="610EAC49"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Information Technology</w:t>
            </w:r>
          </w:p>
        </w:tc>
        <w:tc>
          <w:tcPr>
            <w:tcW w:w="2032" w:type="dxa"/>
            <w:vAlign w:val="center"/>
            <w:hideMark/>
          </w:tcPr>
          <w:p w14:paraId="0AF465E8"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9.6</w:t>
            </w:r>
          </w:p>
        </w:tc>
        <w:tc>
          <w:tcPr>
            <w:tcW w:w="501" w:type="dxa"/>
            <w:vAlign w:val="center"/>
            <w:hideMark/>
          </w:tcPr>
          <w:p w14:paraId="5CF632A5"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7,350</w:t>
            </w:r>
          </w:p>
        </w:tc>
      </w:tr>
      <w:tr w:rsidR="007A53F6" w:rsidRPr="007A53F6" w14:paraId="6C0B1225" w14:textId="77777777" w:rsidTr="00D14AD2">
        <w:trPr>
          <w:tblCellSpacing w:w="15" w:type="dxa"/>
        </w:trPr>
        <w:tc>
          <w:tcPr>
            <w:tcW w:w="0" w:type="auto"/>
            <w:vAlign w:val="center"/>
            <w:hideMark/>
          </w:tcPr>
          <w:p w14:paraId="1E3E60C4"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Business Management and Administration</w:t>
            </w:r>
          </w:p>
        </w:tc>
        <w:tc>
          <w:tcPr>
            <w:tcW w:w="2032" w:type="dxa"/>
            <w:vAlign w:val="center"/>
            <w:hideMark/>
          </w:tcPr>
          <w:p w14:paraId="5A12F23A"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8.9</w:t>
            </w:r>
          </w:p>
        </w:tc>
        <w:tc>
          <w:tcPr>
            <w:tcW w:w="501" w:type="dxa"/>
            <w:vAlign w:val="center"/>
            <w:hideMark/>
          </w:tcPr>
          <w:p w14:paraId="23E38FA9"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6,847</w:t>
            </w:r>
          </w:p>
        </w:tc>
      </w:tr>
      <w:tr w:rsidR="007A53F6" w:rsidRPr="007A53F6" w14:paraId="13534DF7" w14:textId="77777777" w:rsidTr="00D14AD2">
        <w:trPr>
          <w:tblCellSpacing w:w="15" w:type="dxa"/>
        </w:trPr>
        <w:tc>
          <w:tcPr>
            <w:tcW w:w="0" w:type="auto"/>
            <w:vAlign w:val="center"/>
            <w:hideMark/>
          </w:tcPr>
          <w:p w14:paraId="7FC407C7"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Transportation, Distribution &amp; Logistics</w:t>
            </w:r>
          </w:p>
        </w:tc>
        <w:tc>
          <w:tcPr>
            <w:tcW w:w="2032" w:type="dxa"/>
            <w:vAlign w:val="center"/>
            <w:hideMark/>
          </w:tcPr>
          <w:p w14:paraId="1E6B64B1"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8.6</w:t>
            </w:r>
          </w:p>
        </w:tc>
        <w:tc>
          <w:tcPr>
            <w:tcW w:w="501" w:type="dxa"/>
            <w:vAlign w:val="center"/>
            <w:hideMark/>
          </w:tcPr>
          <w:p w14:paraId="19029679"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6,572</w:t>
            </w:r>
          </w:p>
        </w:tc>
      </w:tr>
      <w:tr w:rsidR="007A53F6" w:rsidRPr="007A53F6" w14:paraId="176FAB76" w14:textId="77777777" w:rsidTr="00D14AD2">
        <w:trPr>
          <w:tblCellSpacing w:w="15" w:type="dxa"/>
        </w:trPr>
        <w:tc>
          <w:tcPr>
            <w:tcW w:w="0" w:type="auto"/>
            <w:vAlign w:val="center"/>
            <w:hideMark/>
          </w:tcPr>
          <w:p w14:paraId="7DE2C46F"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Engineering and Technology Education</w:t>
            </w:r>
          </w:p>
        </w:tc>
        <w:tc>
          <w:tcPr>
            <w:tcW w:w="2032" w:type="dxa"/>
            <w:vAlign w:val="center"/>
            <w:hideMark/>
          </w:tcPr>
          <w:p w14:paraId="7F96D001"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8.3</w:t>
            </w:r>
          </w:p>
        </w:tc>
        <w:tc>
          <w:tcPr>
            <w:tcW w:w="501" w:type="dxa"/>
            <w:vAlign w:val="center"/>
            <w:hideMark/>
          </w:tcPr>
          <w:p w14:paraId="57B6B5F7"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6,326</w:t>
            </w:r>
          </w:p>
        </w:tc>
      </w:tr>
      <w:tr w:rsidR="007A53F6" w:rsidRPr="007A53F6" w14:paraId="6A92355C" w14:textId="77777777" w:rsidTr="00D14AD2">
        <w:trPr>
          <w:tblCellSpacing w:w="15" w:type="dxa"/>
        </w:trPr>
        <w:tc>
          <w:tcPr>
            <w:tcW w:w="0" w:type="auto"/>
            <w:vAlign w:val="center"/>
            <w:hideMark/>
          </w:tcPr>
          <w:p w14:paraId="32118278"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Health Science</w:t>
            </w:r>
          </w:p>
        </w:tc>
        <w:tc>
          <w:tcPr>
            <w:tcW w:w="2032" w:type="dxa"/>
            <w:vAlign w:val="center"/>
            <w:hideMark/>
          </w:tcPr>
          <w:p w14:paraId="64C6FCB3"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7.9</w:t>
            </w:r>
          </w:p>
        </w:tc>
        <w:tc>
          <w:tcPr>
            <w:tcW w:w="501" w:type="dxa"/>
            <w:vAlign w:val="center"/>
            <w:hideMark/>
          </w:tcPr>
          <w:p w14:paraId="40D94754"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6,079</w:t>
            </w:r>
          </w:p>
        </w:tc>
      </w:tr>
      <w:tr w:rsidR="007A53F6" w:rsidRPr="007A53F6" w14:paraId="0635137A" w14:textId="77777777" w:rsidTr="00D14AD2">
        <w:trPr>
          <w:tblCellSpacing w:w="15" w:type="dxa"/>
        </w:trPr>
        <w:tc>
          <w:tcPr>
            <w:tcW w:w="0" w:type="auto"/>
            <w:vAlign w:val="center"/>
            <w:hideMark/>
          </w:tcPr>
          <w:p w14:paraId="0615EE15"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Architecture &amp; Construction</w:t>
            </w:r>
          </w:p>
        </w:tc>
        <w:tc>
          <w:tcPr>
            <w:tcW w:w="2032" w:type="dxa"/>
            <w:vAlign w:val="center"/>
            <w:hideMark/>
          </w:tcPr>
          <w:p w14:paraId="125B3F13"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4.5</w:t>
            </w:r>
          </w:p>
        </w:tc>
        <w:tc>
          <w:tcPr>
            <w:tcW w:w="501" w:type="dxa"/>
            <w:vAlign w:val="center"/>
            <w:hideMark/>
          </w:tcPr>
          <w:p w14:paraId="518F6C28"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3,427</w:t>
            </w:r>
          </w:p>
        </w:tc>
      </w:tr>
      <w:tr w:rsidR="007A53F6" w:rsidRPr="007A53F6" w14:paraId="60B210D4" w14:textId="77777777" w:rsidTr="00D14AD2">
        <w:trPr>
          <w:tblCellSpacing w:w="15" w:type="dxa"/>
        </w:trPr>
        <w:tc>
          <w:tcPr>
            <w:tcW w:w="0" w:type="auto"/>
            <w:vAlign w:val="center"/>
            <w:hideMark/>
          </w:tcPr>
          <w:p w14:paraId="3D38D3BC"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Additional CTE Programs/Courses</w:t>
            </w:r>
          </w:p>
        </w:tc>
        <w:tc>
          <w:tcPr>
            <w:tcW w:w="2032" w:type="dxa"/>
            <w:vAlign w:val="center"/>
            <w:hideMark/>
          </w:tcPr>
          <w:p w14:paraId="481FB7C7"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4.2</w:t>
            </w:r>
          </w:p>
        </w:tc>
        <w:tc>
          <w:tcPr>
            <w:tcW w:w="501" w:type="dxa"/>
            <w:vAlign w:val="center"/>
            <w:hideMark/>
          </w:tcPr>
          <w:p w14:paraId="03DA1707"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3,177</w:t>
            </w:r>
          </w:p>
        </w:tc>
      </w:tr>
      <w:tr w:rsidR="007A53F6" w:rsidRPr="007A53F6" w14:paraId="1048F69A" w14:textId="77777777" w:rsidTr="00D14AD2">
        <w:trPr>
          <w:tblCellSpacing w:w="15" w:type="dxa"/>
        </w:trPr>
        <w:tc>
          <w:tcPr>
            <w:tcW w:w="0" w:type="auto"/>
            <w:vAlign w:val="center"/>
            <w:hideMark/>
          </w:tcPr>
          <w:p w14:paraId="2A3C7214"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Education &amp; Training</w:t>
            </w:r>
          </w:p>
        </w:tc>
        <w:tc>
          <w:tcPr>
            <w:tcW w:w="2032" w:type="dxa"/>
            <w:vAlign w:val="center"/>
            <w:hideMark/>
          </w:tcPr>
          <w:p w14:paraId="6BF133AB"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3.7</w:t>
            </w:r>
          </w:p>
        </w:tc>
        <w:tc>
          <w:tcPr>
            <w:tcW w:w="501" w:type="dxa"/>
            <w:vAlign w:val="center"/>
            <w:hideMark/>
          </w:tcPr>
          <w:p w14:paraId="1F580F20"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2,847</w:t>
            </w:r>
          </w:p>
        </w:tc>
      </w:tr>
      <w:tr w:rsidR="007A53F6" w:rsidRPr="007A53F6" w14:paraId="133CE611" w14:textId="77777777" w:rsidTr="00D14AD2">
        <w:trPr>
          <w:tblCellSpacing w:w="15" w:type="dxa"/>
        </w:trPr>
        <w:tc>
          <w:tcPr>
            <w:tcW w:w="0" w:type="auto"/>
            <w:vAlign w:val="center"/>
            <w:hideMark/>
          </w:tcPr>
          <w:p w14:paraId="5A29195B"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Marketing, Sales &amp; Services</w:t>
            </w:r>
          </w:p>
        </w:tc>
        <w:tc>
          <w:tcPr>
            <w:tcW w:w="2032" w:type="dxa"/>
            <w:vAlign w:val="center"/>
            <w:hideMark/>
          </w:tcPr>
          <w:p w14:paraId="75BEA6BA"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3.7</w:t>
            </w:r>
          </w:p>
        </w:tc>
        <w:tc>
          <w:tcPr>
            <w:tcW w:w="501" w:type="dxa"/>
            <w:vAlign w:val="center"/>
            <w:hideMark/>
          </w:tcPr>
          <w:p w14:paraId="2E0F1246"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2,801</w:t>
            </w:r>
          </w:p>
        </w:tc>
      </w:tr>
      <w:tr w:rsidR="007A53F6" w:rsidRPr="007A53F6" w14:paraId="3F00D2A5" w14:textId="77777777" w:rsidTr="00D14AD2">
        <w:trPr>
          <w:tblCellSpacing w:w="15" w:type="dxa"/>
        </w:trPr>
        <w:tc>
          <w:tcPr>
            <w:tcW w:w="0" w:type="auto"/>
            <w:vAlign w:val="center"/>
            <w:hideMark/>
          </w:tcPr>
          <w:p w14:paraId="2252DD77"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Human Services</w:t>
            </w:r>
          </w:p>
        </w:tc>
        <w:tc>
          <w:tcPr>
            <w:tcW w:w="2032" w:type="dxa"/>
            <w:vAlign w:val="center"/>
            <w:hideMark/>
          </w:tcPr>
          <w:p w14:paraId="6006D60D"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2.9</w:t>
            </w:r>
          </w:p>
        </w:tc>
        <w:tc>
          <w:tcPr>
            <w:tcW w:w="501" w:type="dxa"/>
            <w:vAlign w:val="center"/>
            <w:hideMark/>
          </w:tcPr>
          <w:p w14:paraId="014E96EE"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2,188</w:t>
            </w:r>
          </w:p>
        </w:tc>
      </w:tr>
      <w:tr w:rsidR="007A53F6" w:rsidRPr="007A53F6" w14:paraId="10B26528" w14:textId="77777777" w:rsidTr="00D14AD2">
        <w:trPr>
          <w:tblCellSpacing w:w="15" w:type="dxa"/>
        </w:trPr>
        <w:tc>
          <w:tcPr>
            <w:tcW w:w="0" w:type="auto"/>
            <w:vAlign w:val="center"/>
            <w:hideMark/>
          </w:tcPr>
          <w:p w14:paraId="1D9DE7E6"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Manufacturing</w:t>
            </w:r>
          </w:p>
        </w:tc>
        <w:tc>
          <w:tcPr>
            <w:tcW w:w="2032" w:type="dxa"/>
            <w:vAlign w:val="center"/>
            <w:hideMark/>
          </w:tcPr>
          <w:p w14:paraId="4DD62D55"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1.7</w:t>
            </w:r>
          </w:p>
        </w:tc>
        <w:tc>
          <w:tcPr>
            <w:tcW w:w="501" w:type="dxa"/>
            <w:vAlign w:val="center"/>
            <w:hideMark/>
          </w:tcPr>
          <w:p w14:paraId="2C95FA5C"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1,300</w:t>
            </w:r>
          </w:p>
        </w:tc>
      </w:tr>
      <w:tr w:rsidR="007A53F6" w:rsidRPr="007A53F6" w14:paraId="0FFF1F11" w14:textId="77777777" w:rsidTr="00D14AD2">
        <w:trPr>
          <w:tblCellSpacing w:w="15" w:type="dxa"/>
        </w:trPr>
        <w:tc>
          <w:tcPr>
            <w:tcW w:w="0" w:type="auto"/>
            <w:vAlign w:val="center"/>
            <w:hideMark/>
          </w:tcPr>
          <w:p w14:paraId="26DF58D2"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Law, Public Safety &amp; Security</w:t>
            </w:r>
          </w:p>
        </w:tc>
        <w:tc>
          <w:tcPr>
            <w:tcW w:w="2032" w:type="dxa"/>
            <w:vAlign w:val="center"/>
            <w:hideMark/>
          </w:tcPr>
          <w:p w14:paraId="615F26FC"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1.1</w:t>
            </w:r>
          </w:p>
        </w:tc>
        <w:tc>
          <w:tcPr>
            <w:tcW w:w="501" w:type="dxa"/>
            <w:vAlign w:val="center"/>
            <w:hideMark/>
          </w:tcPr>
          <w:p w14:paraId="1A678251"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871</w:t>
            </w:r>
          </w:p>
        </w:tc>
      </w:tr>
      <w:tr w:rsidR="007A53F6" w:rsidRPr="007A53F6" w14:paraId="6C7D0D07" w14:textId="77777777" w:rsidTr="00D14AD2">
        <w:trPr>
          <w:tblCellSpacing w:w="15" w:type="dxa"/>
        </w:trPr>
        <w:tc>
          <w:tcPr>
            <w:tcW w:w="0" w:type="auto"/>
            <w:vAlign w:val="center"/>
            <w:hideMark/>
          </w:tcPr>
          <w:p w14:paraId="49578726"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Finance</w:t>
            </w:r>
          </w:p>
        </w:tc>
        <w:tc>
          <w:tcPr>
            <w:tcW w:w="2032" w:type="dxa"/>
            <w:vAlign w:val="center"/>
            <w:hideMark/>
          </w:tcPr>
          <w:p w14:paraId="3DE88A95"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1.0</w:t>
            </w:r>
          </w:p>
        </w:tc>
        <w:tc>
          <w:tcPr>
            <w:tcW w:w="501" w:type="dxa"/>
            <w:vAlign w:val="center"/>
            <w:hideMark/>
          </w:tcPr>
          <w:p w14:paraId="1D193E70"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788</w:t>
            </w:r>
          </w:p>
        </w:tc>
      </w:tr>
      <w:tr w:rsidR="007A53F6" w:rsidRPr="007A53F6" w14:paraId="77E25F61" w14:textId="77777777" w:rsidTr="00D14AD2">
        <w:trPr>
          <w:tblCellSpacing w:w="15" w:type="dxa"/>
        </w:trPr>
        <w:tc>
          <w:tcPr>
            <w:tcW w:w="0" w:type="auto"/>
            <w:vAlign w:val="center"/>
            <w:hideMark/>
          </w:tcPr>
          <w:p w14:paraId="1469A42E"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Energy</w:t>
            </w:r>
          </w:p>
        </w:tc>
        <w:tc>
          <w:tcPr>
            <w:tcW w:w="2032" w:type="dxa"/>
            <w:vAlign w:val="center"/>
            <w:hideMark/>
          </w:tcPr>
          <w:p w14:paraId="33CC3C13"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0.1</w:t>
            </w:r>
          </w:p>
        </w:tc>
        <w:tc>
          <w:tcPr>
            <w:tcW w:w="501" w:type="dxa"/>
            <w:vAlign w:val="center"/>
            <w:hideMark/>
          </w:tcPr>
          <w:p w14:paraId="3D2963B1"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55</w:t>
            </w:r>
          </w:p>
        </w:tc>
      </w:tr>
      <w:tr w:rsidR="007A53F6" w:rsidRPr="007A53F6" w14:paraId="40C979AE" w14:textId="77777777" w:rsidTr="00D14AD2">
        <w:trPr>
          <w:tblCellSpacing w:w="15" w:type="dxa"/>
        </w:trPr>
        <w:tc>
          <w:tcPr>
            <w:tcW w:w="0" w:type="auto"/>
            <w:vAlign w:val="center"/>
            <w:hideMark/>
          </w:tcPr>
          <w:p w14:paraId="42720386"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Government &amp; Public Administration</w:t>
            </w:r>
          </w:p>
        </w:tc>
        <w:tc>
          <w:tcPr>
            <w:tcW w:w="2032" w:type="dxa"/>
            <w:vAlign w:val="center"/>
            <w:hideMark/>
          </w:tcPr>
          <w:p w14:paraId="2AFE0C1D"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0.1</w:t>
            </w:r>
          </w:p>
        </w:tc>
        <w:tc>
          <w:tcPr>
            <w:tcW w:w="501" w:type="dxa"/>
            <w:vAlign w:val="center"/>
            <w:hideMark/>
          </w:tcPr>
          <w:p w14:paraId="6F23859B"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46</w:t>
            </w:r>
          </w:p>
        </w:tc>
      </w:tr>
      <w:tr w:rsidR="007A53F6" w:rsidRPr="007A53F6" w14:paraId="6FA50007" w14:textId="77777777" w:rsidTr="00D14AD2">
        <w:trPr>
          <w:tblCellSpacing w:w="15" w:type="dxa"/>
        </w:trPr>
        <w:tc>
          <w:tcPr>
            <w:tcW w:w="0" w:type="auto"/>
            <w:tcBorders>
              <w:top w:val="single" w:sz="4" w:space="0" w:color="auto"/>
            </w:tcBorders>
            <w:vAlign w:val="center"/>
            <w:hideMark/>
          </w:tcPr>
          <w:p w14:paraId="0C4DD11F"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Total</w:t>
            </w:r>
          </w:p>
        </w:tc>
        <w:tc>
          <w:tcPr>
            <w:tcW w:w="2032" w:type="dxa"/>
            <w:tcBorders>
              <w:top w:val="single" w:sz="4" w:space="0" w:color="auto"/>
            </w:tcBorders>
            <w:vAlign w:val="center"/>
            <w:hideMark/>
          </w:tcPr>
          <w:p w14:paraId="205C3BA0"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100.00</w:t>
            </w:r>
          </w:p>
        </w:tc>
        <w:tc>
          <w:tcPr>
            <w:tcW w:w="501" w:type="dxa"/>
            <w:tcBorders>
              <w:top w:val="single" w:sz="4" w:space="0" w:color="auto"/>
            </w:tcBorders>
            <w:vAlign w:val="center"/>
            <w:hideMark/>
          </w:tcPr>
          <w:p w14:paraId="0D6826CB" w14:textId="77777777" w:rsidR="007A53F6" w:rsidRPr="007A53F6" w:rsidRDefault="007A53F6" w:rsidP="007A53F6">
            <w:pPr>
              <w:spacing w:after="160" w:line="278" w:lineRule="auto"/>
              <w:ind w:firstLine="0"/>
              <w:jc w:val="left"/>
              <w:rPr>
                <w:rFonts w:eastAsia="Aptos"/>
                <w:kern w:val="2"/>
                <w14:ligatures w14:val="standardContextual"/>
              </w:rPr>
            </w:pPr>
            <w:r w:rsidRPr="007A53F6">
              <w:rPr>
                <w:rFonts w:eastAsia="Aptos"/>
                <w:kern w:val="2"/>
                <w14:ligatures w14:val="standardContextual"/>
              </w:rPr>
              <w:t>76,217</w:t>
            </w:r>
          </w:p>
        </w:tc>
      </w:tr>
    </w:tbl>
    <w:p w14:paraId="49B46F16" w14:textId="77777777" w:rsidR="00410608" w:rsidRPr="00C356AE" w:rsidRDefault="00410608" w:rsidP="007A53F6">
      <w:pPr>
        <w:ind w:firstLine="0"/>
      </w:pPr>
    </w:p>
    <w:p w14:paraId="3DC416EB" w14:textId="77777777" w:rsidR="00410608" w:rsidRPr="00C356AE" w:rsidRDefault="00410608" w:rsidP="00410608"/>
    <w:p w14:paraId="4B07FF01" w14:textId="77777777" w:rsidR="00410608" w:rsidRPr="00C356AE" w:rsidRDefault="00410608" w:rsidP="00410608"/>
    <w:p w14:paraId="120032EA" w14:textId="77777777" w:rsidR="00410608" w:rsidRPr="00C356AE" w:rsidRDefault="00410608" w:rsidP="006D33B2">
      <w:pPr>
        <w:ind w:firstLine="0"/>
      </w:pPr>
    </w:p>
    <w:p w14:paraId="1A5355DE" w14:textId="77777777" w:rsidR="00410608" w:rsidRPr="00C356AE" w:rsidRDefault="00410608" w:rsidP="00410608"/>
    <w:p w14:paraId="36B530DB" w14:textId="6A6BE992" w:rsidR="00D56B0F" w:rsidRDefault="00D56B0F" w:rsidP="006D33B2">
      <w:pPr>
        <w:ind w:firstLine="0"/>
        <w:rPr>
          <w:b/>
          <w:bCs/>
        </w:rPr>
      </w:pPr>
      <w:r>
        <w:rPr>
          <w:b/>
          <w:bCs/>
        </w:rPr>
        <w:lastRenderedPageBreak/>
        <w:t>Table 3. Estimates on Unemployment Rate</w:t>
      </w:r>
    </w:p>
    <w:tbl>
      <w:tblPr>
        <w:tblW w:w="9446" w:type="dxa"/>
        <w:tblCellMar>
          <w:left w:w="0" w:type="dxa"/>
          <w:right w:w="0" w:type="dxa"/>
        </w:tblCellMar>
        <w:tblLook w:val="04A0" w:firstRow="1" w:lastRow="0" w:firstColumn="1" w:lastColumn="0" w:noHBand="0" w:noVBand="1"/>
      </w:tblPr>
      <w:tblGrid>
        <w:gridCol w:w="3110"/>
        <w:gridCol w:w="1440"/>
        <w:gridCol w:w="1440"/>
        <w:gridCol w:w="1584"/>
        <w:gridCol w:w="1872"/>
      </w:tblGrid>
      <w:tr w:rsidR="002317B4" w:rsidRPr="0007641B" w14:paraId="2CBB1BF9" w14:textId="77777777" w:rsidTr="002317B4">
        <w:trPr>
          <w:trHeight w:val="454"/>
        </w:trPr>
        <w:tc>
          <w:tcPr>
            <w:tcW w:w="3110" w:type="dxa"/>
            <w:tcBorders>
              <w:top w:val="single" w:sz="8" w:space="0" w:color="000000"/>
              <w:left w:val="nil"/>
              <w:bottom w:val="single" w:sz="8" w:space="0" w:color="000000"/>
              <w:right w:val="nil"/>
            </w:tcBorders>
            <w:tcMar>
              <w:top w:w="15" w:type="dxa"/>
              <w:left w:w="108" w:type="dxa"/>
              <w:bottom w:w="0" w:type="dxa"/>
              <w:right w:w="108" w:type="dxa"/>
            </w:tcMar>
            <w:hideMark/>
          </w:tcPr>
          <w:p w14:paraId="30A79F3F" w14:textId="77777777" w:rsidR="002317B4" w:rsidRPr="0007641B" w:rsidRDefault="002317B4" w:rsidP="00D14AD2">
            <w:pPr>
              <w:ind w:firstLine="0"/>
              <w:jc w:val="left"/>
            </w:pPr>
            <w:r w:rsidRPr="0007641B">
              <w:t> </w:t>
            </w:r>
          </w:p>
        </w:tc>
        <w:tc>
          <w:tcPr>
            <w:tcW w:w="1440" w:type="dxa"/>
            <w:tcBorders>
              <w:top w:val="single" w:sz="8" w:space="0" w:color="000000"/>
              <w:left w:val="nil"/>
              <w:bottom w:val="single" w:sz="8" w:space="0" w:color="000000"/>
              <w:right w:val="nil"/>
            </w:tcBorders>
            <w:tcMar>
              <w:top w:w="15" w:type="dxa"/>
              <w:left w:w="108" w:type="dxa"/>
              <w:bottom w:w="0" w:type="dxa"/>
              <w:right w:w="108" w:type="dxa"/>
            </w:tcMar>
            <w:hideMark/>
          </w:tcPr>
          <w:p w14:paraId="2995055F" w14:textId="77777777" w:rsidR="002317B4" w:rsidRPr="0007641B" w:rsidRDefault="002317B4" w:rsidP="00D14AD2">
            <w:pPr>
              <w:ind w:firstLine="0"/>
              <w:jc w:val="center"/>
            </w:pPr>
            <w:r w:rsidRPr="0007641B">
              <w:t>(1)</w:t>
            </w:r>
          </w:p>
        </w:tc>
        <w:tc>
          <w:tcPr>
            <w:tcW w:w="1440" w:type="dxa"/>
            <w:tcBorders>
              <w:top w:val="single" w:sz="8" w:space="0" w:color="000000"/>
              <w:left w:val="nil"/>
              <w:bottom w:val="single" w:sz="8" w:space="0" w:color="000000"/>
              <w:right w:val="nil"/>
            </w:tcBorders>
            <w:tcMar>
              <w:top w:w="15" w:type="dxa"/>
              <w:left w:w="108" w:type="dxa"/>
              <w:bottom w:w="0" w:type="dxa"/>
              <w:right w:w="108" w:type="dxa"/>
            </w:tcMar>
            <w:hideMark/>
          </w:tcPr>
          <w:p w14:paraId="54FBE8A9" w14:textId="77777777" w:rsidR="002317B4" w:rsidRPr="0007641B" w:rsidRDefault="002317B4" w:rsidP="00D14AD2">
            <w:pPr>
              <w:ind w:firstLine="0"/>
              <w:jc w:val="center"/>
            </w:pPr>
            <w:r w:rsidRPr="0007641B">
              <w:t>(2)</w:t>
            </w:r>
          </w:p>
        </w:tc>
        <w:tc>
          <w:tcPr>
            <w:tcW w:w="1584" w:type="dxa"/>
            <w:tcBorders>
              <w:top w:val="single" w:sz="8" w:space="0" w:color="000000"/>
              <w:left w:val="nil"/>
              <w:bottom w:val="single" w:sz="8" w:space="0" w:color="000000"/>
              <w:right w:val="nil"/>
            </w:tcBorders>
            <w:tcMar>
              <w:top w:w="15" w:type="dxa"/>
              <w:left w:w="108" w:type="dxa"/>
              <w:bottom w:w="0" w:type="dxa"/>
              <w:right w:w="108" w:type="dxa"/>
            </w:tcMar>
            <w:hideMark/>
          </w:tcPr>
          <w:p w14:paraId="5F19871A" w14:textId="77777777" w:rsidR="002317B4" w:rsidRPr="0007641B" w:rsidRDefault="002317B4" w:rsidP="00D14AD2">
            <w:pPr>
              <w:ind w:firstLine="0"/>
              <w:jc w:val="center"/>
            </w:pPr>
            <w:r w:rsidRPr="0007641B">
              <w:t>(3)</w:t>
            </w:r>
          </w:p>
        </w:tc>
        <w:tc>
          <w:tcPr>
            <w:tcW w:w="1872" w:type="dxa"/>
            <w:tcBorders>
              <w:top w:val="single" w:sz="8" w:space="0" w:color="000000"/>
              <w:left w:val="nil"/>
              <w:bottom w:val="single" w:sz="8" w:space="0" w:color="000000"/>
              <w:right w:val="nil"/>
            </w:tcBorders>
            <w:tcMar>
              <w:top w:w="15" w:type="dxa"/>
              <w:left w:w="108" w:type="dxa"/>
              <w:bottom w:w="0" w:type="dxa"/>
              <w:right w:w="108" w:type="dxa"/>
            </w:tcMar>
            <w:hideMark/>
          </w:tcPr>
          <w:p w14:paraId="7160E196" w14:textId="77777777" w:rsidR="002317B4" w:rsidRPr="0007641B" w:rsidRDefault="002317B4" w:rsidP="00D14AD2">
            <w:pPr>
              <w:ind w:firstLine="0"/>
              <w:jc w:val="center"/>
            </w:pPr>
            <w:r w:rsidRPr="0007641B">
              <w:t>(4)</w:t>
            </w:r>
          </w:p>
        </w:tc>
      </w:tr>
      <w:tr w:rsidR="002317B4" w:rsidRPr="0007641B" w14:paraId="533EA263" w14:textId="77777777" w:rsidTr="002317B4">
        <w:trPr>
          <w:trHeight w:val="1296"/>
        </w:trPr>
        <w:tc>
          <w:tcPr>
            <w:tcW w:w="3110" w:type="dxa"/>
            <w:tcBorders>
              <w:top w:val="single" w:sz="8" w:space="0" w:color="000000"/>
              <w:left w:val="nil"/>
              <w:bottom w:val="nil"/>
              <w:right w:val="nil"/>
            </w:tcBorders>
            <w:tcMar>
              <w:top w:w="15" w:type="dxa"/>
              <w:left w:w="108" w:type="dxa"/>
              <w:bottom w:w="0" w:type="dxa"/>
              <w:right w:w="108" w:type="dxa"/>
            </w:tcMar>
            <w:hideMark/>
          </w:tcPr>
          <w:p w14:paraId="212CE943" w14:textId="77777777" w:rsidR="002317B4" w:rsidRPr="0007641B" w:rsidRDefault="002317B4" w:rsidP="00D14AD2">
            <w:pPr>
              <w:ind w:firstLine="0"/>
              <w:jc w:val="left"/>
            </w:pPr>
            <w:r w:rsidRPr="0007641B">
              <w:t> </w:t>
            </w:r>
          </w:p>
        </w:tc>
        <w:tc>
          <w:tcPr>
            <w:tcW w:w="1440" w:type="dxa"/>
            <w:tcBorders>
              <w:top w:val="single" w:sz="8" w:space="0" w:color="000000"/>
              <w:left w:val="nil"/>
              <w:bottom w:val="nil"/>
              <w:right w:val="nil"/>
            </w:tcBorders>
            <w:tcMar>
              <w:top w:w="15" w:type="dxa"/>
              <w:left w:w="108" w:type="dxa"/>
              <w:bottom w:w="0" w:type="dxa"/>
              <w:right w:w="108" w:type="dxa"/>
            </w:tcMar>
            <w:hideMark/>
          </w:tcPr>
          <w:p w14:paraId="52FD85F5" w14:textId="77777777" w:rsidR="002317B4" w:rsidRPr="0007641B" w:rsidRDefault="002317B4" w:rsidP="00D14AD2">
            <w:pPr>
              <w:ind w:firstLine="0"/>
              <w:jc w:val="center"/>
            </w:pPr>
            <w:r w:rsidRPr="0007641B">
              <w:t>District exit</w:t>
            </w:r>
          </w:p>
        </w:tc>
        <w:tc>
          <w:tcPr>
            <w:tcW w:w="1440" w:type="dxa"/>
            <w:tcBorders>
              <w:top w:val="single" w:sz="8" w:space="0" w:color="000000"/>
              <w:left w:val="nil"/>
              <w:bottom w:val="nil"/>
              <w:right w:val="nil"/>
            </w:tcBorders>
            <w:tcMar>
              <w:top w:w="15" w:type="dxa"/>
              <w:left w:w="108" w:type="dxa"/>
              <w:bottom w:w="0" w:type="dxa"/>
              <w:right w:w="108" w:type="dxa"/>
            </w:tcMar>
            <w:hideMark/>
          </w:tcPr>
          <w:p w14:paraId="6308E0F1" w14:textId="77777777" w:rsidR="002317B4" w:rsidRPr="0007641B" w:rsidRDefault="002317B4" w:rsidP="00D14AD2">
            <w:pPr>
              <w:ind w:firstLine="0"/>
              <w:jc w:val="center"/>
            </w:pPr>
            <w:r w:rsidRPr="0007641B">
              <w:t>Left to work outside education</w:t>
            </w:r>
          </w:p>
        </w:tc>
        <w:tc>
          <w:tcPr>
            <w:tcW w:w="1584" w:type="dxa"/>
            <w:tcBorders>
              <w:top w:val="single" w:sz="8" w:space="0" w:color="000000"/>
              <w:left w:val="nil"/>
              <w:bottom w:val="nil"/>
              <w:right w:val="nil"/>
            </w:tcBorders>
            <w:tcMar>
              <w:top w:w="15" w:type="dxa"/>
              <w:left w:w="108" w:type="dxa"/>
              <w:bottom w:w="0" w:type="dxa"/>
              <w:right w:w="108" w:type="dxa"/>
            </w:tcMar>
            <w:hideMark/>
          </w:tcPr>
          <w:p w14:paraId="66AA6EB1" w14:textId="77777777" w:rsidR="002317B4" w:rsidRPr="0007641B" w:rsidRDefault="002317B4" w:rsidP="00D14AD2">
            <w:pPr>
              <w:ind w:firstLine="0"/>
              <w:jc w:val="center"/>
            </w:pPr>
            <w:r w:rsidRPr="0007641B">
              <w:t>District exit</w:t>
            </w:r>
          </w:p>
        </w:tc>
        <w:tc>
          <w:tcPr>
            <w:tcW w:w="1872" w:type="dxa"/>
            <w:tcBorders>
              <w:top w:val="single" w:sz="8" w:space="0" w:color="000000"/>
              <w:left w:val="nil"/>
              <w:bottom w:val="nil"/>
              <w:right w:val="nil"/>
            </w:tcBorders>
            <w:tcMar>
              <w:top w:w="15" w:type="dxa"/>
              <w:left w:w="108" w:type="dxa"/>
              <w:bottom w:w="0" w:type="dxa"/>
              <w:right w:w="108" w:type="dxa"/>
            </w:tcMar>
            <w:hideMark/>
          </w:tcPr>
          <w:p w14:paraId="336560C8" w14:textId="77777777" w:rsidR="002317B4" w:rsidRPr="0007641B" w:rsidRDefault="002317B4" w:rsidP="00D14AD2">
            <w:pPr>
              <w:ind w:firstLine="0"/>
              <w:jc w:val="center"/>
            </w:pPr>
            <w:r w:rsidRPr="0007641B">
              <w:t>Left to work outside education</w:t>
            </w:r>
          </w:p>
        </w:tc>
      </w:tr>
      <w:tr w:rsidR="002317B4" w:rsidRPr="0007641B" w14:paraId="5D114D9B" w14:textId="77777777" w:rsidTr="002317B4">
        <w:trPr>
          <w:trHeight w:val="864"/>
        </w:trPr>
        <w:tc>
          <w:tcPr>
            <w:tcW w:w="3110" w:type="dxa"/>
            <w:tcBorders>
              <w:top w:val="nil"/>
              <w:left w:val="nil"/>
              <w:bottom w:val="nil"/>
              <w:right w:val="nil"/>
            </w:tcBorders>
            <w:tcMar>
              <w:top w:w="15" w:type="dxa"/>
              <w:left w:w="108" w:type="dxa"/>
              <w:bottom w:w="0" w:type="dxa"/>
              <w:right w:w="108" w:type="dxa"/>
            </w:tcMar>
            <w:hideMark/>
          </w:tcPr>
          <w:p w14:paraId="24E87F9E" w14:textId="77777777" w:rsidR="002317B4" w:rsidRPr="0007641B" w:rsidRDefault="002317B4" w:rsidP="00D14AD2">
            <w:pPr>
              <w:ind w:firstLine="0"/>
              <w:jc w:val="left"/>
            </w:pPr>
            <w:r w:rsidRPr="0007641B">
              <w:t>Unemployment rate</w:t>
            </w:r>
          </w:p>
        </w:tc>
        <w:tc>
          <w:tcPr>
            <w:tcW w:w="1440" w:type="dxa"/>
            <w:tcBorders>
              <w:top w:val="nil"/>
              <w:left w:val="nil"/>
              <w:bottom w:val="nil"/>
              <w:right w:val="nil"/>
            </w:tcBorders>
            <w:tcMar>
              <w:top w:w="15" w:type="dxa"/>
              <w:left w:w="108" w:type="dxa"/>
              <w:bottom w:w="0" w:type="dxa"/>
              <w:right w:w="108" w:type="dxa"/>
            </w:tcMar>
            <w:hideMark/>
          </w:tcPr>
          <w:p w14:paraId="0674871A" w14:textId="77777777" w:rsidR="002317B4" w:rsidRPr="0007641B" w:rsidRDefault="002317B4" w:rsidP="00D14AD2">
            <w:pPr>
              <w:ind w:firstLine="0"/>
              <w:jc w:val="center"/>
            </w:pPr>
            <w:r w:rsidRPr="0007641B">
              <w:t>-0.001</w:t>
            </w:r>
          </w:p>
          <w:p w14:paraId="3F6F947C" w14:textId="77777777" w:rsidR="002317B4" w:rsidRPr="0007641B" w:rsidRDefault="002317B4" w:rsidP="00D14AD2">
            <w:pPr>
              <w:ind w:firstLine="0"/>
              <w:jc w:val="center"/>
            </w:pPr>
            <w:r w:rsidRPr="0007641B">
              <w:t>(0.003)</w:t>
            </w:r>
          </w:p>
        </w:tc>
        <w:tc>
          <w:tcPr>
            <w:tcW w:w="1440" w:type="dxa"/>
            <w:tcBorders>
              <w:top w:val="nil"/>
              <w:left w:val="nil"/>
              <w:bottom w:val="nil"/>
              <w:right w:val="nil"/>
            </w:tcBorders>
            <w:tcMar>
              <w:top w:w="15" w:type="dxa"/>
              <w:left w:w="108" w:type="dxa"/>
              <w:bottom w:w="0" w:type="dxa"/>
              <w:right w:w="108" w:type="dxa"/>
            </w:tcMar>
            <w:hideMark/>
          </w:tcPr>
          <w:p w14:paraId="36A0410C" w14:textId="77777777" w:rsidR="002317B4" w:rsidRPr="0007641B" w:rsidRDefault="002317B4" w:rsidP="00D14AD2">
            <w:pPr>
              <w:ind w:firstLine="0"/>
              <w:jc w:val="center"/>
            </w:pPr>
            <w:r w:rsidRPr="0007641B">
              <w:t>-0.003+</w:t>
            </w:r>
          </w:p>
          <w:p w14:paraId="3CEC47B2" w14:textId="77777777" w:rsidR="002317B4" w:rsidRPr="0007641B" w:rsidRDefault="002317B4" w:rsidP="00D14AD2">
            <w:pPr>
              <w:ind w:firstLine="0"/>
              <w:jc w:val="center"/>
            </w:pPr>
            <w:r w:rsidRPr="0007641B">
              <w:t>(0.001)</w:t>
            </w:r>
          </w:p>
        </w:tc>
        <w:tc>
          <w:tcPr>
            <w:tcW w:w="1584" w:type="dxa"/>
            <w:tcBorders>
              <w:top w:val="nil"/>
              <w:left w:val="nil"/>
              <w:bottom w:val="nil"/>
              <w:right w:val="nil"/>
            </w:tcBorders>
            <w:tcMar>
              <w:top w:w="15" w:type="dxa"/>
              <w:left w:w="108" w:type="dxa"/>
              <w:bottom w:w="0" w:type="dxa"/>
              <w:right w:w="108" w:type="dxa"/>
            </w:tcMar>
            <w:hideMark/>
          </w:tcPr>
          <w:p w14:paraId="4F874570" w14:textId="77777777" w:rsidR="002317B4" w:rsidRPr="0007641B" w:rsidRDefault="002317B4" w:rsidP="00D14AD2">
            <w:pPr>
              <w:ind w:firstLine="0"/>
              <w:jc w:val="center"/>
            </w:pPr>
            <w:r w:rsidRPr="0007641B">
              <w:t>-0.000</w:t>
            </w:r>
          </w:p>
          <w:p w14:paraId="137FC85C" w14:textId="77777777" w:rsidR="002317B4" w:rsidRPr="0007641B" w:rsidRDefault="002317B4" w:rsidP="00D14AD2">
            <w:pPr>
              <w:ind w:firstLine="0"/>
              <w:jc w:val="center"/>
            </w:pPr>
            <w:r w:rsidRPr="0007641B">
              <w:t>(0.002)</w:t>
            </w:r>
          </w:p>
        </w:tc>
        <w:tc>
          <w:tcPr>
            <w:tcW w:w="1872" w:type="dxa"/>
            <w:tcBorders>
              <w:top w:val="nil"/>
              <w:left w:val="nil"/>
              <w:bottom w:val="nil"/>
              <w:right w:val="nil"/>
            </w:tcBorders>
            <w:tcMar>
              <w:top w:w="15" w:type="dxa"/>
              <w:left w:w="108" w:type="dxa"/>
              <w:bottom w:w="0" w:type="dxa"/>
              <w:right w:w="108" w:type="dxa"/>
            </w:tcMar>
            <w:hideMark/>
          </w:tcPr>
          <w:p w14:paraId="28362FC4" w14:textId="77777777" w:rsidR="002317B4" w:rsidRPr="0007641B" w:rsidRDefault="002317B4" w:rsidP="00D14AD2">
            <w:pPr>
              <w:ind w:firstLine="0"/>
              <w:jc w:val="center"/>
            </w:pPr>
            <w:r w:rsidRPr="0007641B">
              <w:t>-0.003*</w:t>
            </w:r>
          </w:p>
          <w:p w14:paraId="41D32A79" w14:textId="77777777" w:rsidR="002317B4" w:rsidRPr="0007641B" w:rsidRDefault="002317B4" w:rsidP="00D14AD2">
            <w:pPr>
              <w:ind w:firstLine="0"/>
              <w:jc w:val="center"/>
            </w:pPr>
            <w:r w:rsidRPr="0007641B">
              <w:t>(0.001)</w:t>
            </w:r>
          </w:p>
        </w:tc>
      </w:tr>
      <w:tr w:rsidR="002317B4" w:rsidRPr="0007641B" w14:paraId="57282998" w14:textId="77777777" w:rsidTr="002317B4">
        <w:trPr>
          <w:trHeight w:val="720"/>
        </w:trPr>
        <w:tc>
          <w:tcPr>
            <w:tcW w:w="3110" w:type="dxa"/>
            <w:tcBorders>
              <w:top w:val="nil"/>
              <w:left w:val="nil"/>
              <w:bottom w:val="single" w:sz="8" w:space="0" w:color="000000"/>
              <w:right w:val="nil"/>
            </w:tcBorders>
            <w:tcMar>
              <w:top w:w="15" w:type="dxa"/>
              <w:left w:w="108" w:type="dxa"/>
              <w:bottom w:w="0" w:type="dxa"/>
              <w:right w:w="108" w:type="dxa"/>
            </w:tcMar>
            <w:hideMark/>
          </w:tcPr>
          <w:p w14:paraId="7BDB117D" w14:textId="77777777" w:rsidR="002317B4" w:rsidRPr="0007641B" w:rsidRDefault="002317B4" w:rsidP="00D14AD2">
            <w:pPr>
              <w:ind w:firstLine="0"/>
              <w:jc w:val="left"/>
            </w:pPr>
            <w:r w:rsidRPr="0007641B">
              <w:t>Constant</w:t>
            </w:r>
          </w:p>
        </w:tc>
        <w:tc>
          <w:tcPr>
            <w:tcW w:w="1440" w:type="dxa"/>
            <w:tcBorders>
              <w:top w:val="nil"/>
              <w:left w:val="nil"/>
              <w:bottom w:val="single" w:sz="8" w:space="0" w:color="000000"/>
              <w:right w:val="nil"/>
            </w:tcBorders>
            <w:tcMar>
              <w:top w:w="15" w:type="dxa"/>
              <w:left w:w="108" w:type="dxa"/>
              <w:bottom w:w="0" w:type="dxa"/>
              <w:right w:w="108" w:type="dxa"/>
            </w:tcMar>
            <w:hideMark/>
          </w:tcPr>
          <w:p w14:paraId="1E3AF4FA" w14:textId="77777777" w:rsidR="002317B4" w:rsidRPr="0007641B" w:rsidRDefault="002317B4" w:rsidP="00D14AD2">
            <w:pPr>
              <w:ind w:firstLine="0"/>
              <w:jc w:val="center"/>
            </w:pPr>
            <w:r w:rsidRPr="0007641B">
              <w:t>0.068</w:t>
            </w:r>
          </w:p>
          <w:p w14:paraId="56D4EB5E" w14:textId="77777777" w:rsidR="002317B4" w:rsidRPr="0007641B" w:rsidRDefault="002317B4" w:rsidP="00D14AD2">
            <w:pPr>
              <w:ind w:firstLine="0"/>
              <w:jc w:val="center"/>
            </w:pPr>
            <w:r w:rsidRPr="0007641B">
              <w:t>(0.162)</w:t>
            </w:r>
          </w:p>
        </w:tc>
        <w:tc>
          <w:tcPr>
            <w:tcW w:w="1440" w:type="dxa"/>
            <w:tcBorders>
              <w:top w:val="nil"/>
              <w:left w:val="nil"/>
              <w:bottom w:val="single" w:sz="8" w:space="0" w:color="000000"/>
              <w:right w:val="nil"/>
            </w:tcBorders>
            <w:tcMar>
              <w:top w:w="15" w:type="dxa"/>
              <w:left w:w="108" w:type="dxa"/>
              <w:bottom w:w="0" w:type="dxa"/>
              <w:right w:w="108" w:type="dxa"/>
            </w:tcMar>
            <w:hideMark/>
          </w:tcPr>
          <w:p w14:paraId="4156591A" w14:textId="77777777" w:rsidR="002317B4" w:rsidRPr="0007641B" w:rsidRDefault="002317B4" w:rsidP="00D14AD2">
            <w:pPr>
              <w:ind w:firstLine="0"/>
              <w:jc w:val="center"/>
            </w:pPr>
            <w:r w:rsidRPr="0007641B">
              <w:t>-0.001</w:t>
            </w:r>
          </w:p>
          <w:p w14:paraId="28A52020" w14:textId="77777777" w:rsidR="002317B4" w:rsidRPr="0007641B" w:rsidRDefault="002317B4" w:rsidP="00D14AD2">
            <w:pPr>
              <w:ind w:firstLine="0"/>
              <w:jc w:val="center"/>
            </w:pPr>
            <w:r w:rsidRPr="0007641B">
              <w:t>(0.111</w:t>
            </w:r>
            <w:r>
              <w:t>)</w:t>
            </w:r>
          </w:p>
        </w:tc>
        <w:tc>
          <w:tcPr>
            <w:tcW w:w="1584" w:type="dxa"/>
            <w:tcBorders>
              <w:top w:val="nil"/>
              <w:left w:val="nil"/>
              <w:bottom w:val="single" w:sz="8" w:space="0" w:color="000000"/>
              <w:right w:val="nil"/>
            </w:tcBorders>
            <w:tcMar>
              <w:top w:w="15" w:type="dxa"/>
              <w:left w:w="108" w:type="dxa"/>
              <w:bottom w:w="0" w:type="dxa"/>
              <w:right w:w="108" w:type="dxa"/>
            </w:tcMar>
            <w:hideMark/>
          </w:tcPr>
          <w:p w14:paraId="61CE31C2" w14:textId="77777777" w:rsidR="002317B4" w:rsidRPr="0007641B" w:rsidRDefault="002317B4" w:rsidP="00D14AD2">
            <w:pPr>
              <w:ind w:firstLine="0"/>
              <w:jc w:val="center"/>
            </w:pPr>
            <w:r w:rsidRPr="0007641B">
              <w:t>1.492</w:t>
            </w:r>
            <w:r w:rsidRPr="0007641B">
              <w:br/>
              <w:t>(1.256)</w:t>
            </w:r>
          </w:p>
        </w:tc>
        <w:tc>
          <w:tcPr>
            <w:tcW w:w="1872" w:type="dxa"/>
            <w:tcBorders>
              <w:top w:val="nil"/>
              <w:left w:val="nil"/>
              <w:bottom w:val="single" w:sz="8" w:space="0" w:color="000000"/>
              <w:right w:val="nil"/>
            </w:tcBorders>
            <w:tcMar>
              <w:top w:w="15" w:type="dxa"/>
              <w:left w:w="108" w:type="dxa"/>
              <w:bottom w:w="0" w:type="dxa"/>
              <w:right w:w="108" w:type="dxa"/>
            </w:tcMar>
            <w:hideMark/>
          </w:tcPr>
          <w:p w14:paraId="3E57B9EA" w14:textId="77777777" w:rsidR="002317B4" w:rsidRPr="0007641B" w:rsidRDefault="002317B4" w:rsidP="00D14AD2">
            <w:pPr>
              <w:ind w:firstLine="0"/>
              <w:jc w:val="center"/>
            </w:pPr>
            <w:r w:rsidRPr="0007641B">
              <w:t>1.597*</w:t>
            </w:r>
          </w:p>
          <w:p w14:paraId="46842910" w14:textId="77777777" w:rsidR="002317B4" w:rsidRPr="0007641B" w:rsidRDefault="002317B4" w:rsidP="00D14AD2">
            <w:pPr>
              <w:ind w:firstLine="0"/>
              <w:jc w:val="center"/>
            </w:pPr>
            <w:r w:rsidRPr="0007641B">
              <w:t>(0.794)</w:t>
            </w:r>
          </w:p>
        </w:tc>
      </w:tr>
      <w:tr w:rsidR="002317B4" w:rsidRPr="0007641B" w14:paraId="032FAA89" w14:textId="77777777" w:rsidTr="002317B4">
        <w:trPr>
          <w:trHeight w:val="432"/>
        </w:trPr>
        <w:tc>
          <w:tcPr>
            <w:tcW w:w="3110" w:type="dxa"/>
            <w:tcBorders>
              <w:top w:val="single" w:sz="8" w:space="0" w:color="000000"/>
              <w:left w:val="nil"/>
              <w:bottom w:val="nil"/>
              <w:right w:val="nil"/>
            </w:tcBorders>
            <w:tcMar>
              <w:top w:w="15" w:type="dxa"/>
              <w:left w:w="108" w:type="dxa"/>
              <w:bottom w:w="0" w:type="dxa"/>
              <w:right w:w="108" w:type="dxa"/>
            </w:tcMar>
            <w:hideMark/>
          </w:tcPr>
          <w:p w14:paraId="3AD0A3CE" w14:textId="77777777" w:rsidR="002317B4" w:rsidRPr="0007641B" w:rsidRDefault="002317B4" w:rsidP="00D14AD2">
            <w:pPr>
              <w:ind w:firstLine="0"/>
              <w:jc w:val="left"/>
            </w:pPr>
            <w:r w:rsidRPr="0007641B">
              <w:t>District FE</w:t>
            </w:r>
          </w:p>
        </w:tc>
        <w:tc>
          <w:tcPr>
            <w:tcW w:w="1440" w:type="dxa"/>
            <w:tcBorders>
              <w:top w:val="single" w:sz="8" w:space="0" w:color="000000"/>
              <w:left w:val="nil"/>
              <w:bottom w:val="nil"/>
              <w:right w:val="nil"/>
            </w:tcBorders>
            <w:tcMar>
              <w:top w:w="15" w:type="dxa"/>
              <w:left w:w="108" w:type="dxa"/>
              <w:bottom w:w="0" w:type="dxa"/>
              <w:right w:w="108" w:type="dxa"/>
            </w:tcMar>
            <w:hideMark/>
          </w:tcPr>
          <w:p w14:paraId="7128EBC7" w14:textId="77777777" w:rsidR="002317B4" w:rsidRPr="0007641B" w:rsidRDefault="002317B4" w:rsidP="00D14AD2">
            <w:pPr>
              <w:ind w:firstLine="0"/>
              <w:jc w:val="center"/>
            </w:pPr>
          </w:p>
        </w:tc>
        <w:tc>
          <w:tcPr>
            <w:tcW w:w="1440" w:type="dxa"/>
            <w:tcBorders>
              <w:top w:val="single" w:sz="8" w:space="0" w:color="000000"/>
              <w:left w:val="nil"/>
              <w:bottom w:val="nil"/>
              <w:right w:val="nil"/>
            </w:tcBorders>
            <w:tcMar>
              <w:top w:w="15" w:type="dxa"/>
              <w:left w:w="108" w:type="dxa"/>
              <w:bottom w:w="0" w:type="dxa"/>
              <w:right w:w="108" w:type="dxa"/>
            </w:tcMar>
            <w:hideMark/>
          </w:tcPr>
          <w:p w14:paraId="49EA183F" w14:textId="77777777" w:rsidR="002317B4" w:rsidRPr="0007641B" w:rsidRDefault="002317B4" w:rsidP="00D14AD2">
            <w:pPr>
              <w:ind w:firstLine="0"/>
              <w:jc w:val="center"/>
            </w:pPr>
          </w:p>
        </w:tc>
        <w:tc>
          <w:tcPr>
            <w:tcW w:w="1584" w:type="dxa"/>
            <w:tcBorders>
              <w:top w:val="single" w:sz="8" w:space="0" w:color="000000"/>
              <w:left w:val="nil"/>
              <w:bottom w:val="nil"/>
              <w:right w:val="nil"/>
            </w:tcBorders>
            <w:tcMar>
              <w:top w:w="15" w:type="dxa"/>
              <w:left w:w="108" w:type="dxa"/>
              <w:bottom w:w="0" w:type="dxa"/>
              <w:right w:w="108" w:type="dxa"/>
            </w:tcMar>
            <w:hideMark/>
          </w:tcPr>
          <w:p w14:paraId="34B0F28B" w14:textId="77777777" w:rsidR="002317B4" w:rsidRPr="0007641B" w:rsidRDefault="002317B4" w:rsidP="00D14AD2">
            <w:pPr>
              <w:ind w:firstLine="0"/>
              <w:jc w:val="center"/>
            </w:pPr>
            <w:r w:rsidRPr="0007641B">
              <w:t>X</w:t>
            </w:r>
          </w:p>
        </w:tc>
        <w:tc>
          <w:tcPr>
            <w:tcW w:w="1872" w:type="dxa"/>
            <w:tcBorders>
              <w:top w:val="single" w:sz="8" w:space="0" w:color="000000"/>
              <w:left w:val="nil"/>
              <w:bottom w:val="nil"/>
              <w:right w:val="nil"/>
            </w:tcBorders>
            <w:tcMar>
              <w:top w:w="15" w:type="dxa"/>
              <w:left w:w="108" w:type="dxa"/>
              <w:bottom w:w="0" w:type="dxa"/>
              <w:right w:w="108" w:type="dxa"/>
            </w:tcMar>
            <w:hideMark/>
          </w:tcPr>
          <w:p w14:paraId="0355872E" w14:textId="77777777" w:rsidR="002317B4" w:rsidRPr="0007641B" w:rsidRDefault="002317B4" w:rsidP="00D14AD2">
            <w:pPr>
              <w:ind w:firstLine="0"/>
              <w:jc w:val="center"/>
            </w:pPr>
            <w:r w:rsidRPr="0007641B">
              <w:t>X</w:t>
            </w:r>
          </w:p>
        </w:tc>
      </w:tr>
      <w:tr w:rsidR="002317B4" w:rsidRPr="0007641B" w14:paraId="4A76B565" w14:textId="77777777" w:rsidTr="002317B4">
        <w:trPr>
          <w:trHeight w:val="432"/>
        </w:trPr>
        <w:tc>
          <w:tcPr>
            <w:tcW w:w="3110" w:type="dxa"/>
            <w:tcBorders>
              <w:top w:val="nil"/>
              <w:left w:val="nil"/>
              <w:bottom w:val="nil"/>
              <w:right w:val="nil"/>
            </w:tcBorders>
            <w:tcMar>
              <w:top w:w="15" w:type="dxa"/>
              <w:left w:w="108" w:type="dxa"/>
              <w:bottom w:w="0" w:type="dxa"/>
              <w:right w:w="108" w:type="dxa"/>
            </w:tcMar>
            <w:hideMark/>
          </w:tcPr>
          <w:p w14:paraId="56ADED6F" w14:textId="77777777" w:rsidR="002317B4" w:rsidRPr="0007641B" w:rsidRDefault="002317B4" w:rsidP="00D14AD2">
            <w:pPr>
              <w:ind w:firstLine="0"/>
              <w:jc w:val="left"/>
            </w:pPr>
            <w:r w:rsidRPr="0007641B">
              <w:t>N</w:t>
            </w:r>
          </w:p>
        </w:tc>
        <w:tc>
          <w:tcPr>
            <w:tcW w:w="1440" w:type="dxa"/>
            <w:tcBorders>
              <w:top w:val="nil"/>
              <w:left w:val="nil"/>
              <w:bottom w:val="nil"/>
              <w:right w:val="nil"/>
            </w:tcBorders>
            <w:tcMar>
              <w:top w:w="15" w:type="dxa"/>
              <w:left w:w="108" w:type="dxa"/>
              <w:bottom w:w="0" w:type="dxa"/>
              <w:right w:w="108" w:type="dxa"/>
            </w:tcMar>
            <w:hideMark/>
          </w:tcPr>
          <w:p w14:paraId="697AA6D9" w14:textId="77777777" w:rsidR="002317B4" w:rsidRPr="0007641B" w:rsidRDefault="002317B4" w:rsidP="00D14AD2">
            <w:pPr>
              <w:ind w:firstLine="0"/>
              <w:jc w:val="center"/>
            </w:pPr>
            <w:r w:rsidRPr="0007641B">
              <w:t>21,721</w:t>
            </w:r>
          </w:p>
        </w:tc>
        <w:tc>
          <w:tcPr>
            <w:tcW w:w="1440" w:type="dxa"/>
            <w:tcBorders>
              <w:top w:val="nil"/>
              <w:left w:val="nil"/>
              <w:bottom w:val="nil"/>
              <w:right w:val="nil"/>
            </w:tcBorders>
            <w:tcMar>
              <w:top w:w="15" w:type="dxa"/>
              <w:left w:w="108" w:type="dxa"/>
              <w:bottom w:w="0" w:type="dxa"/>
              <w:right w:w="108" w:type="dxa"/>
            </w:tcMar>
            <w:hideMark/>
          </w:tcPr>
          <w:p w14:paraId="215FB66A" w14:textId="77777777" w:rsidR="002317B4" w:rsidRPr="0007641B" w:rsidRDefault="002317B4" w:rsidP="00D14AD2">
            <w:pPr>
              <w:ind w:firstLine="0"/>
              <w:jc w:val="center"/>
            </w:pPr>
            <w:r w:rsidRPr="0007641B">
              <w:t>21,721</w:t>
            </w:r>
          </w:p>
        </w:tc>
        <w:tc>
          <w:tcPr>
            <w:tcW w:w="1584" w:type="dxa"/>
            <w:tcBorders>
              <w:top w:val="nil"/>
              <w:left w:val="nil"/>
              <w:bottom w:val="nil"/>
              <w:right w:val="nil"/>
            </w:tcBorders>
            <w:tcMar>
              <w:top w:w="15" w:type="dxa"/>
              <w:left w:w="108" w:type="dxa"/>
              <w:bottom w:w="0" w:type="dxa"/>
              <w:right w:w="108" w:type="dxa"/>
            </w:tcMar>
            <w:hideMark/>
          </w:tcPr>
          <w:p w14:paraId="6FE5C357" w14:textId="77777777" w:rsidR="002317B4" w:rsidRPr="0007641B" w:rsidRDefault="002317B4" w:rsidP="00D14AD2">
            <w:pPr>
              <w:ind w:firstLine="0"/>
              <w:jc w:val="center"/>
            </w:pPr>
            <w:r w:rsidRPr="0007641B">
              <w:t>21,721</w:t>
            </w:r>
          </w:p>
        </w:tc>
        <w:tc>
          <w:tcPr>
            <w:tcW w:w="1872" w:type="dxa"/>
            <w:tcBorders>
              <w:top w:val="nil"/>
              <w:left w:val="nil"/>
              <w:bottom w:val="nil"/>
              <w:right w:val="nil"/>
            </w:tcBorders>
            <w:tcMar>
              <w:top w:w="15" w:type="dxa"/>
              <w:left w:w="108" w:type="dxa"/>
              <w:bottom w:w="0" w:type="dxa"/>
              <w:right w:w="108" w:type="dxa"/>
            </w:tcMar>
            <w:hideMark/>
          </w:tcPr>
          <w:p w14:paraId="5C83E1B5" w14:textId="77777777" w:rsidR="002317B4" w:rsidRPr="0007641B" w:rsidRDefault="002317B4" w:rsidP="00D14AD2">
            <w:pPr>
              <w:ind w:firstLine="0"/>
              <w:jc w:val="center"/>
            </w:pPr>
            <w:r w:rsidRPr="0007641B">
              <w:t>21,721</w:t>
            </w:r>
          </w:p>
        </w:tc>
      </w:tr>
      <w:tr w:rsidR="002317B4" w:rsidRPr="0007641B" w14:paraId="31753A7D" w14:textId="77777777" w:rsidTr="002317B4">
        <w:trPr>
          <w:trHeight w:val="288"/>
        </w:trPr>
        <w:tc>
          <w:tcPr>
            <w:tcW w:w="3110" w:type="dxa"/>
            <w:tcBorders>
              <w:top w:val="nil"/>
              <w:left w:val="nil"/>
              <w:bottom w:val="nil"/>
              <w:right w:val="nil"/>
            </w:tcBorders>
            <w:tcMar>
              <w:top w:w="15" w:type="dxa"/>
              <w:left w:w="108" w:type="dxa"/>
              <w:bottom w:w="0" w:type="dxa"/>
              <w:right w:w="108" w:type="dxa"/>
            </w:tcMar>
            <w:hideMark/>
          </w:tcPr>
          <w:p w14:paraId="4719B8F6" w14:textId="77777777" w:rsidR="002317B4" w:rsidRPr="0007641B" w:rsidRDefault="002317B4" w:rsidP="00D14AD2">
            <w:pPr>
              <w:ind w:firstLine="0"/>
              <w:jc w:val="left"/>
            </w:pPr>
            <w:r w:rsidRPr="0007641B">
              <w:t>R2</w:t>
            </w:r>
          </w:p>
        </w:tc>
        <w:tc>
          <w:tcPr>
            <w:tcW w:w="1440" w:type="dxa"/>
            <w:tcBorders>
              <w:top w:val="nil"/>
              <w:left w:val="nil"/>
              <w:bottom w:val="nil"/>
              <w:right w:val="nil"/>
            </w:tcBorders>
            <w:tcMar>
              <w:top w:w="15" w:type="dxa"/>
              <w:left w:w="108" w:type="dxa"/>
              <w:bottom w:w="0" w:type="dxa"/>
              <w:right w:w="108" w:type="dxa"/>
            </w:tcMar>
            <w:hideMark/>
          </w:tcPr>
          <w:p w14:paraId="40D983F8" w14:textId="77777777" w:rsidR="002317B4" w:rsidRPr="0007641B" w:rsidRDefault="002317B4" w:rsidP="00D14AD2">
            <w:pPr>
              <w:ind w:firstLine="0"/>
              <w:jc w:val="center"/>
            </w:pPr>
            <w:r w:rsidRPr="0007641B">
              <w:t>0.024</w:t>
            </w:r>
          </w:p>
        </w:tc>
        <w:tc>
          <w:tcPr>
            <w:tcW w:w="1440" w:type="dxa"/>
            <w:tcBorders>
              <w:top w:val="nil"/>
              <w:left w:val="nil"/>
              <w:bottom w:val="nil"/>
              <w:right w:val="nil"/>
            </w:tcBorders>
            <w:tcMar>
              <w:top w:w="15" w:type="dxa"/>
              <w:left w:w="108" w:type="dxa"/>
              <w:bottom w:w="0" w:type="dxa"/>
              <w:right w:w="108" w:type="dxa"/>
            </w:tcMar>
            <w:hideMark/>
          </w:tcPr>
          <w:p w14:paraId="73A88952" w14:textId="77777777" w:rsidR="002317B4" w:rsidRPr="0007641B" w:rsidRDefault="002317B4" w:rsidP="00D14AD2">
            <w:pPr>
              <w:ind w:firstLine="0"/>
              <w:jc w:val="center"/>
            </w:pPr>
            <w:r w:rsidRPr="0007641B">
              <w:t>0.029</w:t>
            </w:r>
          </w:p>
        </w:tc>
        <w:tc>
          <w:tcPr>
            <w:tcW w:w="1584" w:type="dxa"/>
            <w:tcBorders>
              <w:top w:val="nil"/>
              <w:left w:val="nil"/>
              <w:bottom w:val="nil"/>
              <w:right w:val="nil"/>
            </w:tcBorders>
            <w:tcMar>
              <w:top w:w="15" w:type="dxa"/>
              <w:left w:w="108" w:type="dxa"/>
              <w:bottom w:w="0" w:type="dxa"/>
              <w:right w:w="108" w:type="dxa"/>
            </w:tcMar>
            <w:hideMark/>
          </w:tcPr>
          <w:p w14:paraId="23A912E4" w14:textId="77777777" w:rsidR="002317B4" w:rsidRPr="0007641B" w:rsidRDefault="002317B4" w:rsidP="00D14AD2">
            <w:pPr>
              <w:ind w:firstLine="0"/>
              <w:jc w:val="center"/>
            </w:pPr>
            <w:r w:rsidRPr="0007641B">
              <w:t>0.038</w:t>
            </w:r>
          </w:p>
        </w:tc>
        <w:tc>
          <w:tcPr>
            <w:tcW w:w="1872" w:type="dxa"/>
            <w:tcBorders>
              <w:top w:val="nil"/>
              <w:left w:val="nil"/>
              <w:bottom w:val="nil"/>
              <w:right w:val="nil"/>
            </w:tcBorders>
            <w:tcMar>
              <w:top w:w="15" w:type="dxa"/>
              <w:left w:w="108" w:type="dxa"/>
              <w:bottom w:w="0" w:type="dxa"/>
              <w:right w:w="108" w:type="dxa"/>
            </w:tcMar>
            <w:hideMark/>
          </w:tcPr>
          <w:p w14:paraId="2846714C" w14:textId="77777777" w:rsidR="002317B4" w:rsidRPr="0007641B" w:rsidRDefault="002317B4" w:rsidP="00D14AD2">
            <w:pPr>
              <w:ind w:firstLine="0"/>
              <w:jc w:val="center"/>
            </w:pPr>
            <w:r w:rsidRPr="0007641B">
              <w:t>0.042</w:t>
            </w:r>
          </w:p>
        </w:tc>
      </w:tr>
      <w:tr w:rsidR="002317B4" w:rsidRPr="0007641B" w14:paraId="36459C65" w14:textId="77777777" w:rsidTr="002317B4">
        <w:trPr>
          <w:trHeight w:val="432"/>
        </w:trPr>
        <w:tc>
          <w:tcPr>
            <w:tcW w:w="3110" w:type="dxa"/>
            <w:tcBorders>
              <w:top w:val="nil"/>
              <w:left w:val="nil"/>
              <w:bottom w:val="single" w:sz="8" w:space="0" w:color="000000"/>
              <w:right w:val="nil"/>
            </w:tcBorders>
            <w:tcMar>
              <w:top w:w="15" w:type="dxa"/>
              <w:left w:w="108" w:type="dxa"/>
              <w:bottom w:w="0" w:type="dxa"/>
              <w:right w:w="108" w:type="dxa"/>
            </w:tcMar>
            <w:hideMark/>
          </w:tcPr>
          <w:p w14:paraId="7951AAFE" w14:textId="77777777" w:rsidR="002317B4" w:rsidRPr="0007641B" w:rsidRDefault="002317B4" w:rsidP="00D14AD2">
            <w:pPr>
              <w:ind w:firstLine="0"/>
              <w:jc w:val="left"/>
            </w:pPr>
            <w:r w:rsidRPr="0007641B">
              <w:t>Within R2</w:t>
            </w:r>
          </w:p>
        </w:tc>
        <w:tc>
          <w:tcPr>
            <w:tcW w:w="1440" w:type="dxa"/>
            <w:tcBorders>
              <w:top w:val="nil"/>
              <w:left w:val="nil"/>
              <w:bottom w:val="single" w:sz="8" w:space="0" w:color="000000"/>
              <w:right w:val="nil"/>
            </w:tcBorders>
            <w:tcMar>
              <w:top w:w="15" w:type="dxa"/>
              <w:left w:w="108" w:type="dxa"/>
              <w:bottom w:w="0" w:type="dxa"/>
              <w:right w:w="108" w:type="dxa"/>
            </w:tcMar>
            <w:hideMark/>
          </w:tcPr>
          <w:p w14:paraId="4D19CD74" w14:textId="77777777" w:rsidR="002317B4" w:rsidRPr="0007641B" w:rsidRDefault="002317B4" w:rsidP="00D14AD2">
            <w:pPr>
              <w:ind w:firstLine="0"/>
              <w:jc w:val="center"/>
            </w:pPr>
            <w:r w:rsidRPr="0007641B">
              <w:t>-</w:t>
            </w:r>
          </w:p>
        </w:tc>
        <w:tc>
          <w:tcPr>
            <w:tcW w:w="1440" w:type="dxa"/>
            <w:tcBorders>
              <w:top w:val="nil"/>
              <w:left w:val="nil"/>
              <w:bottom w:val="single" w:sz="8" w:space="0" w:color="000000"/>
              <w:right w:val="nil"/>
            </w:tcBorders>
            <w:tcMar>
              <w:top w:w="15" w:type="dxa"/>
              <w:left w:w="108" w:type="dxa"/>
              <w:bottom w:w="0" w:type="dxa"/>
              <w:right w:w="108" w:type="dxa"/>
            </w:tcMar>
            <w:hideMark/>
          </w:tcPr>
          <w:p w14:paraId="71EBCCA7" w14:textId="77777777" w:rsidR="002317B4" w:rsidRPr="0007641B" w:rsidRDefault="002317B4" w:rsidP="00D14AD2">
            <w:pPr>
              <w:ind w:firstLine="0"/>
              <w:jc w:val="center"/>
            </w:pPr>
            <w:r w:rsidRPr="0007641B">
              <w:t>-</w:t>
            </w:r>
          </w:p>
        </w:tc>
        <w:tc>
          <w:tcPr>
            <w:tcW w:w="1584" w:type="dxa"/>
            <w:tcBorders>
              <w:top w:val="nil"/>
              <w:left w:val="nil"/>
              <w:bottom w:val="single" w:sz="8" w:space="0" w:color="000000"/>
              <w:right w:val="nil"/>
            </w:tcBorders>
            <w:tcMar>
              <w:top w:w="15" w:type="dxa"/>
              <w:left w:w="108" w:type="dxa"/>
              <w:bottom w:w="0" w:type="dxa"/>
              <w:right w:w="108" w:type="dxa"/>
            </w:tcMar>
            <w:hideMark/>
          </w:tcPr>
          <w:p w14:paraId="7E1729FC" w14:textId="77777777" w:rsidR="002317B4" w:rsidRPr="0007641B" w:rsidRDefault="002317B4" w:rsidP="00D14AD2">
            <w:pPr>
              <w:ind w:firstLine="0"/>
              <w:jc w:val="center"/>
            </w:pPr>
            <w:r w:rsidRPr="0007641B">
              <w:t>0.021</w:t>
            </w:r>
          </w:p>
        </w:tc>
        <w:tc>
          <w:tcPr>
            <w:tcW w:w="1872" w:type="dxa"/>
            <w:tcBorders>
              <w:top w:val="nil"/>
              <w:left w:val="nil"/>
              <w:bottom w:val="single" w:sz="8" w:space="0" w:color="000000"/>
              <w:right w:val="nil"/>
            </w:tcBorders>
            <w:tcMar>
              <w:top w:w="15" w:type="dxa"/>
              <w:left w:w="108" w:type="dxa"/>
              <w:bottom w:w="0" w:type="dxa"/>
              <w:right w:w="108" w:type="dxa"/>
            </w:tcMar>
            <w:hideMark/>
          </w:tcPr>
          <w:p w14:paraId="59B2AA8C" w14:textId="77777777" w:rsidR="002317B4" w:rsidRPr="0007641B" w:rsidRDefault="002317B4" w:rsidP="00D14AD2">
            <w:pPr>
              <w:ind w:firstLine="0"/>
              <w:jc w:val="center"/>
            </w:pPr>
            <w:r w:rsidRPr="0007641B">
              <w:t>0.022</w:t>
            </w:r>
          </w:p>
        </w:tc>
      </w:tr>
    </w:tbl>
    <w:p w14:paraId="6D9D0391" w14:textId="77777777" w:rsidR="002317B4" w:rsidRPr="00100DEC" w:rsidRDefault="002317B4" w:rsidP="002317B4">
      <w:pPr>
        <w:ind w:firstLine="0"/>
      </w:pPr>
      <w:r w:rsidRPr="00100DEC">
        <w:rPr>
          <w:i/>
          <w:iCs/>
        </w:rPr>
        <w:t>Note</w:t>
      </w:r>
      <w:r w:rsidRPr="00100DEC">
        <w:t>. Standard errors in parentheses</w:t>
      </w:r>
    </w:p>
    <w:p w14:paraId="3B9EC032" w14:textId="77777777" w:rsidR="002317B4" w:rsidRPr="00100DEC" w:rsidRDefault="002317B4" w:rsidP="002317B4">
      <w:pPr>
        <w:ind w:firstLine="0"/>
      </w:pPr>
      <w:r w:rsidRPr="00100DEC">
        <w:t>+ p&lt;.10, * p&lt;.05, ** p&lt;.01, *** p&lt;.001</w:t>
      </w:r>
    </w:p>
    <w:p w14:paraId="54401501" w14:textId="77777777" w:rsidR="002317B4" w:rsidRPr="00100DEC" w:rsidRDefault="002317B4" w:rsidP="002317B4">
      <w:pPr>
        <w:ind w:firstLine="0"/>
      </w:pPr>
      <w:r w:rsidRPr="00100DEC">
        <w:t>All models include year FE, district FE, and cluster FE.</w:t>
      </w:r>
    </w:p>
    <w:p w14:paraId="0FD92026" w14:textId="77777777" w:rsidR="00D56B0F" w:rsidRDefault="00D56B0F" w:rsidP="006D33B2">
      <w:pPr>
        <w:ind w:firstLine="0"/>
        <w:rPr>
          <w:b/>
          <w:bCs/>
        </w:rPr>
      </w:pPr>
    </w:p>
    <w:p w14:paraId="4B2EBDB2" w14:textId="77777777" w:rsidR="00D56B0F" w:rsidRDefault="00D56B0F" w:rsidP="006D33B2">
      <w:pPr>
        <w:ind w:firstLine="0"/>
        <w:rPr>
          <w:b/>
          <w:bCs/>
        </w:rPr>
      </w:pPr>
    </w:p>
    <w:p w14:paraId="65053DBA" w14:textId="77777777" w:rsidR="00D56B0F" w:rsidRDefault="00D56B0F" w:rsidP="006D33B2">
      <w:pPr>
        <w:ind w:firstLine="0"/>
        <w:rPr>
          <w:b/>
          <w:bCs/>
        </w:rPr>
      </w:pPr>
    </w:p>
    <w:p w14:paraId="3BA54CB7" w14:textId="77777777" w:rsidR="00D56B0F" w:rsidRDefault="00D56B0F" w:rsidP="006D33B2">
      <w:pPr>
        <w:ind w:firstLine="0"/>
        <w:rPr>
          <w:b/>
          <w:bCs/>
        </w:rPr>
      </w:pPr>
    </w:p>
    <w:p w14:paraId="046ADC52" w14:textId="77777777" w:rsidR="00D56B0F" w:rsidRDefault="00D56B0F" w:rsidP="006D33B2">
      <w:pPr>
        <w:ind w:firstLine="0"/>
        <w:rPr>
          <w:b/>
          <w:bCs/>
        </w:rPr>
      </w:pPr>
    </w:p>
    <w:p w14:paraId="27371C75" w14:textId="77777777" w:rsidR="00D56B0F" w:rsidRDefault="00D56B0F" w:rsidP="006D33B2">
      <w:pPr>
        <w:ind w:firstLine="0"/>
        <w:rPr>
          <w:b/>
          <w:bCs/>
        </w:rPr>
      </w:pPr>
    </w:p>
    <w:p w14:paraId="52BDD8E0" w14:textId="77777777" w:rsidR="00D56B0F" w:rsidRDefault="00D56B0F" w:rsidP="006D33B2">
      <w:pPr>
        <w:ind w:firstLine="0"/>
        <w:rPr>
          <w:b/>
          <w:bCs/>
        </w:rPr>
      </w:pPr>
    </w:p>
    <w:p w14:paraId="29C73F36" w14:textId="77777777" w:rsidR="00D56B0F" w:rsidRDefault="00D56B0F" w:rsidP="006D33B2">
      <w:pPr>
        <w:ind w:firstLine="0"/>
        <w:rPr>
          <w:b/>
          <w:bCs/>
        </w:rPr>
      </w:pPr>
    </w:p>
    <w:p w14:paraId="70FE3184" w14:textId="77777777" w:rsidR="00D56B0F" w:rsidRDefault="00D56B0F" w:rsidP="006D33B2">
      <w:pPr>
        <w:ind w:firstLine="0"/>
        <w:rPr>
          <w:b/>
          <w:bCs/>
        </w:rPr>
      </w:pPr>
    </w:p>
    <w:p w14:paraId="42536963" w14:textId="77777777" w:rsidR="00D56B0F" w:rsidRDefault="00D56B0F" w:rsidP="006D33B2">
      <w:pPr>
        <w:ind w:firstLine="0"/>
        <w:rPr>
          <w:b/>
          <w:bCs/>
        </w:rPr>
      </w:pPr>
    </w:p>
    <w:p w14:paraId="0FA6CF78" w14:textId="77777777" w:rsidR="00D56B0F" w:rsidRDefault="00D56B0F" w:rsidP="006D33B2">
      <w:pPr>
        <w:ind w:firstLine="0"/>
        <w:rPr>
          <w:b/>
          <w:bCs/>
        </w:rPr>
      </w:pPr>
    </w:p>
    <w:p w14:paraId="63D28B88" w14:textId="77777777" w:rsidR="00D56B0F" w:rsidRDefault="00D56B0F" w:rsidP="006D33B2">
      <w:pPr>
        <w:ind w:firstLine="0"/>
        <w:rPr>
          <w:b/>
          <w:bCs/>
        </w:rPr>
      </w:pPr>
    </w:p>
    <w:p w14:paraId="5832552D" w14:textId="77777777" w:rsidR="00DA6350" w:rsidRDefault="00DA6350" w:rsidP="006D33B2">
      <w:pPr>
        <w:ind w:firstLine="0"/>
        <w:rPr>
          <w:b/>
          <w:bCs/>
        </w:rPr>
      </w:pPr>
    </w:p>
    <w:p w14:paraId="2BEE44C9" w14:textId="77777777" w:rsidR="00DA6350" w:rsidRDefault="00DA6350" w:rsidP="006D33B2">
      <w:pPr>
        <w:ind w:firstLine="0"/>
        <w:rPr>
          <w:b/>
          <w:bCs/>
        </w:rPr>
      </w:pPr>
    </w:p>
    <w:p w14:paraId="7A1865AA" w14:textId="77777777" w:rsidR="00DA6350" w:rsidRDefault="00DA6350" w:rsidP="006D33B2">
      <w:pPr>
        <w:ind w:firstLine="0"/>
        <w:rPr>
          <w:b/>
          <w:bCs/>
        </w:rPr>
      </w:pPr>
    </w:p>
    <w:p w14:paraId="66BD896D" w14:textId="77777777" w:rsidR="00DA6350" w:rsidRDefault="00DA6350" w:rsidP="006D33B2">
      <w:pPr>
        <w:ind w:firstLine="0"/>
        <w:rPr>
          <w:b/>
          <w:bCs/>
        </w:rPr>
      </w:pPr>
    </w:p>
    <w:p w14:paraId="1BC0C62E" w14:textId="77777777" w:rsidR="00DA6350" w:rsidRDefault="00DA6350" w:rsidP="006D33B2">
      <w:pPr>
        <w:ind w:firstLine="0"/>
        <w:rPr>
          <w:b/>
          <w:bCs/>
        </w:rPr>
      </w:pPr>
    </w:p>
    <w:p w14:paraId="2FB917B5" w14:textId="77777777" w:rsidR="00DA6350" w:rsidRDefault="00DA6350" w:rsidP="006D33B2">
      <w:pPr>
        <w:ind w:firstLine="0"/>
        <w:rPr>
          <w:b/>
          <w:bCs/>
        </w:rPr>
      </w:pPr>
    </w:p>
    <w:p w14:paraId="2BDC6033" w14:textId="77777777" w:rsidR="00DA6350" w:rsidRDefault="00DA6350" w:rsidP="006D33B2">
      <w:pPr>
        <w:ind w:firstLine="0"/>
        <w:rPr>
          <w:b/>
          <w:bCs/>
        </w:rPr>
      </w:pPr>
    </w:p>
    <w:p w14:paraId="3B39FB16" w14:textId="77777777" w:rsidR="00DA6350" w:rsidRDefault="00DA6350" w:rsidP="006D33B2">
      <w:pPr>
        <w:ind w:firstLine="0"/>
        <w:rPr>
          <w:b/>
          <w:bCs/>
        </w:rPr>
      </w:pPr>
    </w:p>
    <w:p w14:paraId="11333DBA" w14:textId="77777777" w:rsidR="00FF699E" w:rsidRDefault="00FF699E" w:rsidP="006D33B2">
      <w:pPr>
        <w:ind w:firstLine="0"/>
        <w:rPr>
          <w:b/>
          <w:bCs/>
        </w:rPr>
      </w:pPr>
    </w:p>
    <w:p w14:paraId="1A83B98E" w14:textId="77777777" w:rsidR="00FF699E" w:rsidRDefault="00FF699E" w:rsidP="006D33B2">
      <w:pPr>
        <w:ind w:firstLine="0"/>
        <w:rPr>
          <w:b/>
          <w:bCs/>
        </w:rPr>
      </w:pPr>
    </w:p>
    <w:p w14:paraId="61BCB8D5" w14:textId="77777777" w:rsidR="002317B4" w:rsidRDefault="002317B4" w:rsidP="006D33B2">
      <w:pPr>
        <w:ind w:firstLine="0"/>
        <w:rPr>
          <w:b/>
          <w:bCs/>
        </w:rPr>
      </w:pPr>
    </w:p>
    <w:p w14:paraId="7D3E699A" w14:textId="77777777" w:rsidR="002317B4" w:rsidRDefault="002317B4" w:rsidP="006D33B2">
      <w:pPr>
        <w:ind w:firstLine="0"/>
        <w:rPr>
          <w:b/>
          <w:bCs/>
        </w:rPr>
      </w:pPr>
    </w:p>
    <w:p w14:paraId="2C2FA9E5" w14:textId="200BBC2A" w:rsidR="00DA6350" w:rsidRDefault="00DA6350" w:rsidP="006D33B2">
      <w:pPr>
        <w:ind w:firstLine="0"/>
        <w:rPr>
          <w:b/>
          <w:bCs/>
        </w:rPr>
      </w:pPr>
      <w:r>
        <w:rPr>
          <w:b/>
          <w:bCs/>
        </w:rPr>
        <w:lastRenderedPageBreak/>
        <w:t>Table 4. Estimates on GDP Change, Firm Job Gains, and Replacement Hiring Rate</w:t>
      </w:r>
    </w:p>
    <w:p w14:paraId="78BBE0C5" w14:textId="0B7F42BB" w:rsidR="00DA6350" w:rsidRDefault="00DA6350" w:rsidP="006D33B2">
      <w:pPr>
        <w:ind w:firstLine="0"/>
        <w:rPr>
          <w:b/>
          <w:bCs/>
        </w:rPr>
      </w:pPr>
      <w:r>
        <w:rPr>
          <w:b/>
          <w:bCs/>
          <w:noProof/>
        </w:rPr>
        <w:drawing>
          <wp:inline distT="0" distB="0" distL="0" distR="0" wp14:anchorId="0B0EEFDD" wp14:editId="319A6772">
            <wp:extent cx="5832753" cy="3117669"/>
            <wp:effectExtent l="0" t="0" r="0" b="6985"/>
            <wp:docPr id="2263239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823" cy="3129466"/>
                    </a:xfrm>
                    <a:prstGeom prst="rect">
                      <a:avLst/>
                    </a:prstGeom>
                    <a:noFill/>
                  </pic:spPr>
                </pic:pic>
              </a:graphicData>
            </a:graphic>
          </wp:inline>
        </w:drawing>
      </w:r>
    </w:p>
    <w:p w14:paraId="6800E84A" w14:textId="77777777" w:rsidR="00FF699E" w:rsidRPr="00FF699E" w:rsidRDefault="00FF699E" w:rsidP="00FF699E">
      <w:pPr>
        <w:ind w:firstLine="0"/>
      </w:pPr>
      <w:r w:rsidRPr="00FF699E">
        <w:rPr>
          <w:i/>
          <w:iCs/>
        </w:rPr>
        <w:t>Note</w:t>
      </w:r>
      <w:r w:rsidRPr="00FF699E">
        <w:t>. Standard errors in parentheses</w:t>
      </w:r>
    </w:p>
    <w:p w14:paraId="05DC569F" w14:textId="77777777" w:rsidR="00FF699E" w:rsidRPr="00FF699E" w:rsidRDefault="00FF699E" w:rsidP="00FF699E">
      <w:pPr>
        <w:ind w:firstLine="0"/>
      </w:pPr>
      <w:r w:rsidRPr="00FF699E">
        <w:t>+ p&lt;.10, * p&lt;.05, ** p&lt;.01, *** p&lt;.001</w:t>
      </w:r>
    </w:p>
    <w:p w14:paraId="70F3CF46" w14:textId="77777777" w:rsidR="00FF699E" w:rsidRPr="00FF699E" w:rsidRDefault="00FF699E" w:rsidP="00FF699E">
      <w:pPr>
        <w:ind w:firstLine="0"/>
      </w:pPr>
      <w:r w:rsidRPr="00FF699E">
        <w:t>All models include district FE, year FE, and cluster FE. “Strong” is defined as values well above the mean for both Firm Job Gains (above 70) and GDP Percent Change (above 15). “Weak” refers to values below 0 for both measures, while the reference category includes values between 0 and 70 for Firm Job Gains and between 0 and 15 for GDP Percent Change. “Strong” for the Hiring and Replacement Rate is defined as values in the highest tercile, representing rates well above the mean. “Weak” refers to values in the lowest tercile, while the reference category includes values in the middle tercile.</w:t>
      </w:r>
    </w:p>
    <w:p w14:paraId="6B267110" w14:textId="77777777" w:rsidR="00D56B0F" w:rsidRDefault="00D56B0F" w:rsidP="006D33B2">
      <w:pPr>
        <w:ind w:firstLine="0"/>
        <w:rPr>
          <w:b/>
          <w:bCs/>
        </w:rPr>
      </w:pPr>
    </w:p>
    <w:p w14:paraId="0AE68C4F" w14:textId="77777777" w:rsidR="00D56B0F" w:rsidRDefault="00D56B0F" w:rsidP="006D33B2">
      <w:pPr>
        <w:ind w:firstLine="0"/>
        <w:rPr>
          <w:b/>
          <w:bCs/>
        </w:rPr>
      </w:pPr>
    </w:p>
    <w:p w14:paraId="50BCB3CD" w14:textId="77777777" w:rsidR="00D56B0F" w:rsidRDefault="00D56B0F" w:rsidP="006D33B2">
      <w:pPr>
        <w:ind w:firstLine="0"/>
        <w:rPr>
          <w:b/>
          <w:bCs/>
        </w:rPr>
      </w:pPr>
    </w:p>
    <w:p w14:paraId="35CB2280" w14:textId="77777777" w:rsidR="00D56B0F" w:rsidRDefault="00D56B0F" w:rsidP="006D33B2">
      <w:pPr>
        <w:ind w:firstLine="0"/>
        <w:rPr>
          <w:b/>
          <w:bCs/>
        </w:rPr>
      </w:pPr>
    </w:p>
    <w:p w14:paraId="45F81E25" w14:textId="77777777" w:rsidR="00D56B0F" w:rsidRDefault="00D56B0F" w:rsidP="006D33B2">
      <w:pPr>
        <w:ind w:firstLine="0"/>
        <w:rPr>
          <w:b/>
          <w:bCs/>
        </w:rPr>
      </w:pPr>
    </w:p>
    <w:p w14:paraId="2B581F3A" w14:textId="77777777" w:rsidR="00D56B0F" w:rsidRDefault="00D56B0F" w:rsidP="006D33B2">
      <w:pPr>
        <w:ind w:firstLine="0"/>
        <w:rPr>
          <w:b/>
          <w:bCs/>
        </w:rPr>
      </w:pPr>
    </w:p>
    <w:p w14:paraId="5A814D1C" w14:textId="77777777" w:rsidR="00D56B0F" w:rsidRDefault="00D56B0F" w:rsidP="006D33B2">
      <w:pPr>
        <w:ind w:firstLine="0"/>
        <w:rPr>
          <w:b/>
          <w:bCs/>
        </w:rPr>
      </w:pPr>
    </w:p>
    <w:p w14:paraId="74C06395" w14:textId="77777777" w:rsidR="00D56B0F" w:rsidRDefault="00D56B0F" w:rsidP="006D33B2">
      <w:pPr>
        <w:ind w:firstLine="0"/>
        <w:rPr>
          <w:b/>
          <w:bCs/>
        </w:rPr>
      </w:pPr>
    </w:p>
    <w:p w14:paraId="42923B68" w14:textId="77777777" w:rsidR="00D56B0F" w:rsidRDefault="00D56B0F" w:rsidP="006D33B2">
      <w:pPr>
        <w:ind w:firstLine="0"/>
        <w:rPr>
          <w:b/>
          <w:bCs/>
        </w:rPr>
      </w:pPr>
    </w:p>
    <w:p w14:paraId="6D749E5F" w14:textId="77777777" w:rsidR="00D56B0F" w:rsidRDefault="00D56B0F" w:rsidP="006D33B2">
      <w:pPr>
        <w:ind w:firstLine="0"/>
        <w:rPr>
          <w:b/>
          <w:bCs/>
        </w:rPr>
      </w:pPr>
    </w:p>
    <w:p w14:paraId="653A5121" w14:textId="77777777" w:rsidR="00D56B0F" w:rsidRDefault="00D56B0F" w:rsidP="006D33B2">
      <w:pPr>
        <w:ind w:firstLine="0"/>
        <w:rPr>
          <w:b/>
          <w:bCs/>
        </w:rPr>
      </w:pPr>
    </w:p>
    <w:p w14:paraId="0EDCF1DA" w14:textId="77777777" w:rsidR="00D56B0F" w:rsidRDefault="00D56B0F" w:rsidP="006D33B2">
      <w:pPr>
        <w:ind w:firstLine="0"/>
        <w:rPr>
          <w:b/>
          <w:bCs/>
        </w:rPr>
      </w:pPr>
    </w:p>
    <w:p w14:paraId="4F2CD4F5" w14:textId="77777777" w:rsidR="00D56B0F" w:rsidRDefault="00D56B0F" w:rsidP="006D33B2">
      <w:pPr>
        <w:ind w:firstLine="0"/>
        <w:rPr>
          <w:b/>
          <w:bCs/>
        </w:rPr>
      </w:pPr>
    </w:p>
    <w:p w14:paraId="47338968" w14:textId="77777777" w:rsidR="00D56B0F" w:rsidRDefault="00D56B0F" w:rsidP="006D33B2">
      <w:pPr>
        <w:ind w:firstLine="0"/>
        <w:rPr>
          <w:b/>
          <w:bCs/>
        </w:rPr>
      </w:pPr>
    </w:p>
    <w:p w14:paraId="57F8E4A6" w14:textId="77777777" w:rsidR="00D56B0F" w:rsidRDefault="00D56B0F" w:rsidP="006D33B2">
      <w:pPr>
        <w:ind w:firstLine="0"/>
        <w:rPr>
          <w:b/>
          <w:bCs/>
        </w:rPr>
      </w:pPr>
    </w:p>
    <w:p w14:paraId="00361236" w14:textId="77777777" w:rsidR="00D56B0F" w:rsidRDefault="00D56B0F" w:rsidP="006D33B2">
      <w:pPr>
        <w:ind w:firstLine="0"/>
        <w:rPr>
          <w:b/>
          <w:bCs/>
        </w:rPr>
      </w:pPr>
    </w:p>
    <w:p w14:paraId="0CDA32BE" w14:textId="77777777" w:rsidR="00D56B0F" w:rsidRDefault="00D56B0F" w:rsidP="006D33B2">
      <w:pPr>
        <w:ind w:firstLine="0"/>
        <w:rPr>
          <w:b/>
          <w:bCs/>
        </w:rPr>
      </w:pPr>
    </w:p>
    <w:p w14:paraId="13BE0852" w14:textId="77777777" w:rsidR="00D56B0F" w:rsidRDefault="00D56B0F" w:rsidP="006D33B2">
      <w:pPr>
        <w:ind w:firstLine="0"/>
        <w:rPr>
          <w:b/>
          <w:bCs/>
        </w:rPr>
      </w:pPr>
    </w:p>
    <w:p w14:paraId="6BE0DE5E" w14:textId="77777777" w:rsidR="00D56B0F" w:rsidRDefault="00D56B0F" w:rsidP="006D33B2">
      <w:pPr>
        <w:ind w:firstLine="0"/>
        <w:rPr>
          <w:b/>
          <w:bCs/>
        </w:rPr>
      </w:pPr>
    </w:p>
    <w:p w14:paraId="4D9C14A3" w14:textId="1548312A" w:rsidR="00D56B0F" w:rsidRDefault="00CC3381" w:rsidP="006D33B2">
      <w:pPr>
        <w:ind w:firstLine="0"/>
        <w:rPr>
          <w:b/>
          <w:bCs/>
        </w:rPr>
      </w:pPr>
      <w:r>
        <w:rPr>
          <w:b/>
          <w:bCs/>
        </w:rPr>
        <w:lastRenderedPageBreak/>
        <w:t xml:space="preserve">Table 5. Interaction Estimates on Unemployment Rate Across Career Clusters </w:t>
      </w:r>
    </w:p>
    <w:p w14:paraId="1961A802" w14:textId="34B3321B" w:rsidR="00D56B0F" w:rsidRDefault="00BE3322" w:rsidP="00E16B22">
      <w:pPr>
        <w:ind w:firstLine="0"/>
        <w:jc w:val="left"/>
        <w:rPr>
          <w:b/>
          <w:bCs/>
        </w:rPr>
      </w:pPr>
      <w:r>
        <w:rPr>
          <w:b/>
          <w:bCs/>
          <w:noProof/>
        </w:rPr>
        <w:drawing>
          <wp:inline distT="0" distB="0" distL="0" distR="0" wp14:anchorId="32B3B8A0" wp14:editId="0EE34EED">
            <wp:extent cx="4693920" cy="7492060"/>
            <wp:effectExtent l="0" t="0" r="0" b="0"/>
            <wp:docPr id="761852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3054" cy="7538561"/>
                    </a:xfrm>
                    <a:prstGeom prst="rect">
                      <a:avLst/>
                    </a:prstGeom>
                    <a:noFill/>
                  </pic:spPr>
                </pic:pic>
              </a:graphicData>
            </a:graphic>
          </wp:inline>
        </w:drawing>
      </w:r>
    </w:p>
    <w:p w14:paraId="0544DFEC" w14:textId="77777777" w:rsidR="00216D2D" w:rsidRPr="00216D2D" w:rsidRDefault="00216D2D" w:rsidP="00216D2D">
      <w:pPr>
        <w:ind w:firstLine="0"/>
      </w:pPr>
      <w:r w:rsidRPr="00216D2D">
        <w:rPr>
          <w:i/>
          <w:iCs/>
        </w:rPr>
        <w:t>Note</w:t>
      </w:r>
      <w:r w:rsidRPr="00216D2D">
        <w:t>. Standard errors in parentheses</w:t>
      </w:r>
    </w:p>
    <w:p w14:paraId="3E4F1AA8" w14:textId="77777777" w:rsidR="00216D2D" w:rsidRPr="00216D2D" w:rsidRDefault="00216D2D" w:rsidP="00216D2D">
      <w:pPr>
        <w:ind w:firstLine="0"/>
      </w:pPr>
      <w:r w:rsidRPr="00216D2D">
        <w:t>+ p&lt;.10, * p&lt;.05, ** p&lt;.01, *** p&lt;.001</w:t>
      </w:r>
    </w:p>
    <w:p w14:paraId="7390C943" w14:textId="00671DC0" w:rsidR="00D56B0F" w:rsidRPr="005A5436" w:rsidRDefault="00216D2D" w:rsidP="006D33B2">
      <w:pPr>
        <w:ind w:firstLine="0"/>
      </w:pPr>
      <w:r w:rsidRPr="00216D2D">
        <w:t>All models include year FE, district FE, and cluster FE.</w:t>
      </w:r>
    </w:p>
    <w:p w14:paraId="6676D615" w14:textId="3A413B68" w:rsidR="00410608" w:rsidRPr="00C356AE" w:rsidRDefault="00410608" w:rsidP="006D33B2">
      <w:pPr>
        <w:ind w:firstLine="0"/>
        <w:rPr>
          <w:b/>
          <w:bCs/>
        </w:rPr>
      </w:pPr>
      <w:r w:rsidRPr="00C356AE">
        <w:rPr>
          <w:b/>
          <w:bCs/>
        </w:rPr>
        <w:lastRenderedPageBreak/>
        <w:t>Figure 1. Theoretical Framework</w:t>
      </w:r>
    </w:p>
    <w:p w14:paraId="053BE96E" w14:textId="77777777" w:rsidR="00410608" w:rsidRPr="00C356AE" w:rsidRDefault="00410608" w:rsidP="00410608">
      <w:pPr>
        <w:rPr>
          <w:b/>
          <w:bCs/>
        </w:rPr>
      </w:pPr>
    </w:p>
    <w:p w14:paraId="6CF3CD91" w14:textId="12CAB2D9" w:rsidR="00410608" w:rsidRPr="00C356AE" w:rsidRDefault="00410608" w:rsidP="00410608">
      <w:r w:rsidRPr="00C356AE">
        <w:rPr>
          <w:noProof/>
        </w:rPr>
        <w:drawing>
          <wp:inline distT="0" distB="0" distL="0" distR="0" wp14:anchorId="183072E3" wp14:editId="3D48DFDB">
            <wp:extent cx="5943600" cy="3355452"/>
            <wp:effectExtent l="0" t="0" r="0" b="0"/>
            <wp:docPr id="1507755587" name="Picture 6"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55587" name="Picture 6" descr="A graph of different colored line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3355452"/>
                    </a:xfrm>
                    <a:prstGeom prst="rect">
                      <a:avLst/>
                    </a:prstGeom>
                  </pic:spPr>
                </pic:pic>
              </a:graphicData>
            </a:graphic>
          </wp:inline>
        </w:drawing>
      </w:r>
    </w:p>
    <w:p w14:paraId="5BA02B28" w14:textId="77777777" w:rsidR="00410608" w:rsidRPr="00C356AE" w:rsidRDefault="00410608" w:rsidP="00DD27FF">
      <w:pPr>
        <w:ind w:firstLine="0"/>
      </w:pPr>
      <w:r w:rsidRPr="00DD27FF">
        <w:rPr>
          <w:i/>
          <w:iCs/>
        </w:rPr>
        <w:t>Note</w:t>
      </w:r>
      <w:r w:rsidRPr="00C356AE">
        <w:t xml:space="preserve">. The vertically dashed lines show the decision threshold in a hypothetical strong economy and a weak economy. Under the Roy model (Roy, 1951), a teacher would </w:t>
      </w:r>
      <w:proofErr w:type="gramStart"/>
      <w:r w:rsidRPr="00C356AE">
        <w:t>exit</w:t>
      </w:r>
      <w:proofErr w:type="gramEnd"/>
      <w:r w:rsidRPr="00C356AE">
        <w:t xml:space="preserve"> when expected industry earnings exceed expected teaching earnings. In a strong economy, the threshold occurs at lower industry </w:t>
      </w:r>
      <w:proofErr w:type="gramStart"/>
      <w:r w:rsidRPr="00C356AE">
        <w:t>skill</w:t>
      </w:r>
      <w:proofErr w:type="gramEnd"/>
      <w:r w:rsidRPr="00C356AE">
        <w:t>, so more teachers will leave teaching for industry. In a weak economy, the threshold occurs at higher industry skill, so only teachers with very high industry skill exit when alternative opportunities are fewer.</w:t>
      </w:r>
    </w:p>
    <w:p w14:paraId="0F3ABE38" w14:textId="77777777" w:rsidR="00410608" w:rsidRPr="00C356AE" w:rsidRDefault="00410608" w:rsidP="00410608"/>
    <w:p w14:paraId="165AB353" w14:textId="77777777" w:rsidR="00410608" w:rsidRPr="00C356AE" w:rsidRDefault="00410608" w:rsidP="00410608"/>
    <w:p w14:paraId="424E6C33" w14:textId="77777777" w:rsidR="00410608" w:rsidRPr="00C356AE" w:rsidRDefault="00410608" w:rsidP="00410608"/>
    <w:p w14:paraId="0461A767" w14:textId="77777777" w:rsidR="00410608" w:rsidRPr="00C356AE" w:rsidRDefault="00410608" w:rsidP="00410608"/>
    <w:p w14:paraId="44F46A25" w14:textId="77777777" w:rsidR="00410608" w:rsidRPr="00C356AE" w:rsidRDefault="00410608" w:rsidP="00410608"/>
    <w:p w14:paraId="597D14DA" w14:textId="77777777" w:rsidR="00410608" w:rsidRPr="00C356AE" w:rsidRDefault="00410608" w:rsidP="00410608"/>
    <w:p w14:paraId="43A46C10" w14:textId="77777777" w:rsidR="00410608" w:rsidRPr="00C356AE" w:rsidRDefault="00410608" w:rsidP="00410608"/>
    <w:p w14:paraId="458596DC" w14:textId="77777777" w:rsidR="00410608" w:rsidRPr="00C356AE" w:rsidRDefault="00410608" w:rsidP="00410608"/>
    <w:p w14:paraId="66C38587" w14:textId="77777777" w:rsidR="00410608" w:rsidRPr="00C356AE" w:rsidRDefault="00410608" w:rsidP="00410608"/>
    <w:p w14:paraId="2699B5D7" w14:textId="77777777" w:rsidR="00410608" w:rsidRPr="00C356AE" w:rsidRDefault="00410608" w:rsidP="00410608"/>
    <w:p w14:paraId="7B898C12" w14:textId="77777777" w:rsidR="00410608" w:rsidRPr="00C356AE" w:rsidRDefault="00410608" w:rsidP="00410608"/>
    <w:p w14:paraId="43536464" w14:textId="77777777" w:rsidR="00410608" w:rsidRPr="00C356AE" w:rsidRDefault="00410608" w:rsidP="00410608"/>
    <w:p w14:paraId="20471987" w14:textId="77777777" w:rsidR="00410608" w:rsidRPr="00C356AE" w:rsidRDefault="00410608" w:rsidP="00410608"/>
    <w:p w14:paraId="56EF08C3" w14:textId="77777777" w:rsidR="00410608" w:rsidRPr="00C356AE" w:rsidRDefault="00410608" w:rsidP="00410608"/>
    <w:p w14:paraId="6BADAB80" w14:textId="77777777" w:rsidR="00410608" w:rsidRPr="00C356AE" w:rsidRDefault="00410608" w:rsidP="00410608"/>
    <w:p w14:paraId="119AA2EC" w14:textId="77777777" w:rsidR="00410608" w:rsidRPr="00C356AE" w:rsidRDefault="00410608" w:rsidP="00410608"/>
    <w:p w14:paraId="7690453F" w14:textId="77777777" w:rsidR="00410608" w:rsidRPr="00C356AE" w:rsidRDefault="00410608" w:rsidP="00410608"/>
    <w:p w14:paraId="7FBEBBD0" w14:textId="77777777" w:rsidR="006D33B2" w:rsidRDefault="006D33B2" w:rsidP="006D33B2">
      <w:pPr>
        <w:ind w:firstLine="0"/>
      </w:pPr>
    </w:p>
    <w:p w14:paraId="356FBD43" w14:textId="77777777" w:rsidR="005A5436" w:rsidRDefault="005A5436" w:rsidP="006D33B2">
      <w:pPr>
        <w:ind w:firstLine="0"/>
        <w:rPr>
          <w:b/>
          <w:bCs/>
        </w:rPr>
      </w:pPr>
    </w:p>
    <w:p w14:paraId="315039C6" w14:textId="0EED01EE" w:rsidR="00410608" w:rsidRPr="00C356AE" w:rsidRDefault="00410608" w:rsidP="006D33B2">
      <w:pPr>
        <w:ind w:firstLine="0"/>
        <w:rPr>
          <w:b/>
          <w:bCs/>
        </w:rPr>
      </w:pPr>
      <w:r w:rsidRPr="00C356AE">
        <w:rPr>
          <w:b/>
          <w:bCs/>
        </w:rPr>
        <w:lastRenderedPageBreak/>
        <w:t>Figure 2. District Exit and Teacher Leaving Profession by Year (percent)</w:t>
      </w:r>
    </w:p>
    <w:p w14:paraId="4BDE7C37" w14:textId="77777777" w:rsidR="00410608" w:rsidRPr="00C356AE" w:rsidRDefault="00410608" w:rsidP="00410608"/>
    <w:p w14:paraId="394A775E" w14:textId="40099D25" w:rsidR="00410608" w:rsidRDefault="00410608" w:rsidP="005A5436">
      <w:pPr>
        <w:ind w:firstLine="0"/>
        <w:jc w:val="left"/>
      </w:pPr>
      <w:r w:rsidRPr="00C356AE">
        <w:rPr>
          <w:b/>
          <w:bCs/>
          <w:noProof/>
        </w:rPr>
        <w:drawing>
          <wp:inline distT="0" distB="0" distL="0" distR="0" wp14:anchorId="338B4947" wp14:editId="6C03B132">
            <wp:extent cx="5943600" cy="3566532"/>
            <wp:effectExtent l="0" t="0" r="0" b="0"/>
            <wp:docPr id="578440967" name="Picture 4"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40967" name="Picture 4" descr="A graph of a number of people&#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3566532"/>
                    </a:xfrm>
                    <a:prstGeom prst="rect">
                      <a:avLst/>
                    </a:prstGeom>
                  </pic:spPr>
                </pic:pic>
              </a:graphicData>
            </a:graphic>
          </wp:inline>
        </w:drawing>
      </w:r>
    </w:p>
    <w:p w14:paraId="72491DC7" w14:textId="77777777" w:rsidR="0007641B" w:rsidRDefault="0007641B" w:rsidP="005A5436">
      <w:pPr>
        <w:ind w:firstLine="0"/>
        <w:jc w:val="left"/>
      </w:pPr>
    </w:p>
    <w:p w14:paraId="2CE1B1F0" w14:textId="77777777" w:rsidR="0007641B" w:rsidRDefault="0007641B" w:rsidP="005A5436">
      <w:pPr>
        <w:ind w:firstLine="0"/>
        <w:jc w:val="left"/>
      </w:pPr>
    </w:p>
    <w:p w14:paraId="24EA98A6" w14:textId="77777777" w:rsidR="0007641B" w:rsidRDefault="0007641B" w:rsidP="005A5436">
      <w:pPr>
        <w:ind w:firstLine="0"/>
        <w:jc w:val="left"/>
      </w:pPr>
    </w:p>
    <w:p w14:paraId="2792C9B4" w14:textId="77777777" w:rsidR="0007641B" w:rsidRDefault="0007641B" w:rsidP="005A5436">
      <w:pPr>
        <w:ind w:firstLine="0"/>
        <w:jc w:val="left"/>
      </w:pPr>
    </w:p>
    <w:p w14:paraId="448D9A44" w14:textId="77777777" w:rsidR="0007641B" w:rsidRDefault="0007641B" w:rsidP="005A5436">
      <w:pPr>
        <w:ind w:firstLine="0"/>
        <w:jc w:val="left"/>
      </w:pPr>
    </w:p>
    <w:p w14:paraId="248E1322" w14:textId="77777777" w:rsidR="0007641B" w:rsidRDefault="0007641B" w:rsidP="005A5436">
      <w:pPr>
        <w:ind w:firstLine="0"/>
        <w:jc w:val="left"/>
      </w:pPr>
    </w:p>
    <w:p w14:paraId="5A89F2FA" w14:textId="77777777" w:rsidR="0007641B" w:rsidRDefault="0007641B" w:rsidP="005A5436">
      <w:pPr>
        <w:ind w:firstLine="0"/>
        <w:jc w:val="left"/>
      </w:pPr>
    </w:p>
    <w:p w14:paraId="73BB8F3B" w14:textId="77777777" w:rsidR="0007641B" w:rsidRDefault="0007641B" w:rsidP="005A5436">
      <w:pPr>
        <w:ind w:firstLine="0"/>
        <w:jc w:val="left"/>
      </w:pPr>
    </w:p>
    <w:p w14:paraId="374AA72C" w14:textId="77777777" w:rsidR="0007641B" w:rsidRDefault="0007641B" w:rsidP="005A5436">
      <w:pPr>
        <w:ind w:firstLine="0"/>
        <w:jc w:val="left"/>
      </w:pPr>
    </w:p>
    <w:p w14:paraId="700DC8CF" w14:textId="77777777" w:rsidR="0007641B" w:rsidRDefault="0007641B" w:rsidP="005A5436">
      <w:pPr>
        <w:ind w:firstLine="0"/>
        <w:jc w:val="left"/>
      </w:pPr>
    </w:p>
    <w:p w14:paraId="61FBDE0B" w14:textId="77777777" w:rsidR="0007641B" w:rsidRDefault="0007641B" w:rsidP="005A5436">
      <w:pPr>
        <w:ind w:firstLine="0"/>
        <w:jc w:val="left"/>
      </w:pPr>
    </w:p>
    <w:p w14:paraId="1C341A6C" w14:textId="77777777" w:rsidR="0007641B" w:rsidRDefault="0007641B" w:rsidP="005A5436">
      <w:pPr>
        <w:ind w:firstLine="0"/>
        <w:jc w:val="left"/>
      </w:pPr>
    </w:p>
    <w:p w14:paraId="42942189" w14:textId="77777777" w:rsidR="0007641B" w:rsidRDefault="0007641B" w:rsidP="005A5436">
      <w:pPr>
        <w:ind w:firstLine="0"/>
        <w:jc w:val="left"/>
      </w:pPr>
    </w:p>
    <w:p w14:paraId="2D60AC51" w14:textId="77777777" w:rsidR="0007641B" w:rsidRDefault="0007641B" w:rsidP="005A5436">
      <w:pPr>
        <w:ind w:firstLine="0"/>
        <w:jc w:val="left"/>
      </w:pPr>
    </w:p>
    <w:p w14:paraId="7C991780" w14:textId="77777777" w:rsidR="0007641B" w:rsidRDefault="0007641B" w:rsidP="005A5436">
      <w:pPr>
        <w:ind w:firstLine="0"/>
        <w:jc w:val="left"/>
      </w:pPr>
    </w:p>
    <w:p w14:paraId="406A49AC" w14:textId="77777777" w:rsidR="0007641B" w:rsidRDefault="0007641B" w:rsidP="005A5436">
      <w:pPr>
        <w:ind w:firstLine="0"/>
        <w:jc w:val="left"/>
      </w:pPr>
    </w:p>
    <w:p w14:paraId="3511A025" w14:textId="77777777" w:rsidR="0007641B" w:rsidRDefault="0007641B" w:rsidP="005A5436">
      <w:pPr>
        <w:ind w:firstLine="0"/>
        <w:jc w:val="left"/>
      </w:pPr>
    </w:p>
    <w:p w14:paraId="3A088956" w14:textId="77777777" w:rsidR="0007641B" w:rsidRDefault="0007641B" w:rsidP="005A5436">
      <w:pPr>
        <w:ind w:firstLine="0"/>
        <w:jc w:val="left"/>
      </w:pPr>
    </w:p>
    <w:p w14:paraId="5AD199DE" w14:textId="77777777" w:rsidR="0007641B" w:rsidRDefault="0007641B" w:rsidP="005A5436">
      <w:pPr>
        <w:ind w:firstLine="0"/>
        <w:jc w:val="left"/>
      </w:pPr>
    </w:p>
    <w:p w14:paraId="07089204" w14:textId="77777777" w:rsidR="0007641B" w:rsidRDefault="0007641B" w:rsidP="005A5436">
      <w:pPr>
        <w:ind w:firstLine="0"/>
        <w:jc w:val="left"/>
      </w:pPr>
    </w:p>
    <w:p w14:paraId="315E6849" w14:textId="77777777" w:rsidR="0007641B" w:rsidRDefault="0007641B" w:rsidP="005A5436">
      <w:pPr>
        <w:ind w:firstLine="0"/>
        <w:jc w:val="left"/>
      </w:pPr>
    </w:p>
    <w:p w14:paraId="09941A3C" w14:textId="77777777" w:rsidR="0007641B" w:rsidRDefault="0007641B" w:rsidP="005A5436">
      <w:pPr>
        <w:ind w:firstLine="0"/>
        <w:jc w:val="left"/>
      </w:pPr>
    </w:p>
    <w:p w14:paraId="6C85486D" w14:textId="77777777" w:rsidR="0007641B" w:rsidRDefault="0007641B" w:rsidP="005A5436">
      <w:pPr>
        <w:ind w:firstLine="0"/>
        <w:jc w:val="left"/>
      </w:pPr>
    </w:p>
    <w:p w14:paraId="48F96C8E" w14:textId="77777777" w:rsidR="0007641B" w:rsidRPr="00C356AE" w:rsidRDefault="0007641B" w:rsidP="005A5436">
      <w:pPr>
        <w:ind w:firstLine="0"/>
        <w:jc w:val="left"/>
      </w:pPr>
    </w:p>
    <w:sectPr w:rsidR="0007641B" w:rsidRPr="00C356AE" w:rsidSect="00336E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0FF5" w14:textId="77777777" w:rsidR="00B52BED" w:rsidRDefault="00B52BED" w:rsidP="00336E16">
      <w:r>
        <w:separator/>
      </w:r>
    </w:p>
  </w:endnote>
  <w:endnote w:type="continuationSeparator" w:id="0">
    <w:p w14:paraId="1F1922D2" w14:textId="77777777" w:rsidR="00B52BED" w:rsidRDefault="00B52BED" w:rsidP="0033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C3E4" w14:textId="5F980683" w:rsidR="00400EE6" w:rsidRPr="00AA58BE" w:rsidRDefault="00767DE0" w:rsidP="000A1227">
    <w:pPr>
      <w:pStyle w:val="Footer"/>
      <w:rPr>
        <w:i w:val="0"/>
      </w:rPr>
    </w:pPr>
    <w:r w:rsidRPr="002D3AB3">
      <w:rPr>
        <w:rFonts w:hint="cs"/>
        <w:color w:val="000000" w:themeColor="text1"/>
      </w:rPr>
      <w:t xml:space="preserve">Structured Abstract Template </w:t>
    </w:r>
    <w:r w:rsidR="002D3AB3" w:rsidRPr="002D3AB3">
      <w:rPr>
        <w:rFonts w:hint="cs"/>
        <w:color w:val="000000" w:themeColor="text1"/>
      </w:rPr>
      <w:t xml:space="preserve">- </w:t>
    </w:r>
    <w:r w:rsidR="002D3AB3" w:rsidRPr="002D3AB3">
      <w:rPr>
        <w:rFonts w:hint="cs"/>
        <w:color w:val="000000" w:themeColor="text1"/>
        <w:shd w:val="clear" w:color="auto" w:fill="FFFFFF"/>
      </w:rPr>
      <w:t xml:space="preserve">Robert M. </w:t>
    </w:r>
    <w:proofErr w:type="spellStart"/>
    <w:r w:rsidR="002D3AB3" w:rsidRPr="002D3AB3">
      <w:rPr>
        <w:rFonts w:hint="cs"/>
        <w:color w:val="000000" w:themeColor="text1"/>
        <w:shd w:val="clear" w:color="auto" w:fill="FFFFFF"/>
      </w:rPr>
      <w:t>Gagné</w:t>
    </w:r>
    <w:proofErr w:type="spellEnd"/>
    <w:r w:rsidR="002D3AB3" w:rsidRPr="002D3AB3">
      <w:rPr>
        <w:rFonts w:hint="cs"/>
        <w:color w:val="000000" w:themeColor="text1"/>
        <w:shd w:val="clear" w:color="auto" w:fill="FFFFFF"/>
      </w:rPr>
      <w:t xml:space="preserve"> Research Prize</w:t>
    </w:r>
    <w:r w:rsidR="00071B39">
      <w:tab/>
    </w:r>
    <w:r w:rsidR="00071B39" w:rsidRPr="00013B3E">
      <w:rPr>
        <w:rStyle w:val="PageNumber"/>
      </w:rPr>
      <w:fldChar w:fldCharType="begin"/>
    </w:r>
    <w:r w:rsidR="00071B39" w:rsidRPr="00013B3E">
      <w:rPr>
        <w:rStyle w:val="PageNumber"/>
      </w:rPr>
      <w:instrText xml:space="preserve"> PAGE </w:instrText>
    </w:r>
    <w:r w:rsidR="00071B39" w:rsidRPr="00013B3E">
      <w:rPr>
        <w:rStyle w:val="PageNumber"/>
      </w:rPr>
      <w:fldChar w:fldCharType="separate"/>
    </w:r>
    <w:r w:rsidR="00E7165C">
      <w:rPr>
        <w:rStyle w:val="PageNumber"/>
        <w:noProof/>
      </w:rPr>
      <w:t>1</w:t>
    </w:r>
    <w:r w:rsidR="00071B39" w:rsidRPr="00013B3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BCF0" w14:textId="77777777" w:rsidR="00B52BED" w:rsidRDefault="00B52BED" w:rsidP="00336E16">
      <w:r>
        <w:separator/>
      </w:r>
    </w:p>
  </w:footnote>
  <w:footnote w:type="continuationSeparator" w:id="0">
    <w:p w14:paraId="5F982936" w14:textId="77777777" w:rsidR="00B52BED" w:rsidRDefault="00B52BED" w:rsidP="0033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A74D5"/>
    <w:multiLevelType w:val="multilevel"/>
    <w:tmpl w:val="515C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961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0N7QwMjAzMjQzMjJS0lEKTi0uzszPAykwrAUA7gu9gywAAAA="/>
  </w:docVars>
  <w:rsids>
    <w:rsidRoot w:val="00336E16"/>
    <w:rsid w:val="00031E62"/>
    <w:rsid w:val="00071B39"/>
    <w:rsid w:val="000736AC"/>
    <w:rsid w:val="0007641B"/>
    <w:rsid w:val="000F718F"/>
    <w:rsid w:val="00100DEC"/>
    <w:rsid w:val="00100F38"/>
    <w:rsid w:val="0010276F"/>
    <w:rsid w:val="001722E4"/>
    <w:rsid w:val="00193B7C"/>
    <w:rsid w:val="001A5575"/>
    <w:rsid w:val="002139AF"/>
    <w:rsid w:val="00216D2D"/>
    <w:rsid w:val="002317B4"/>
    <w:rsid w:val="00231B99"/>
    <w:rsid w:val="002346BE"/>
    <w:rsid w:val="00234EC7"/>
    <w:rsid w:val="00251E02"/>
    <w:rsid w:val="002725FE"/>
    <w:rsid w:val="002D3AB3"/>
    <w:rsid w:val="00321F62"/>
    <w:rsid w:val="00336E16"/>
    <w:rsid w:val="00350482"/>
    <w:rsid w:val="00350E5B"/>
    <w:rsid w:val="00373D94"/>
    <w:rsid w:val="0039197C"/>
    <w:rsid w:val="00395177"/>
    <w:rsid w:val="003A178F"/>
    <w:rsid w:val="00400EE6"/>
    <w:rsid w:val="00410608"/>
    <w:rsid w:val="004420EF"/>
    <w:rsid w:val="00446B3E"/>
    <w:rsid w:val="00494AD6"/>
    <w:rsid w:val="004B781D"/>
    <w:rsid w:val="004E0704"/>
    <w:rsid w:val="004E2D3D"/>
    <w:rsid w:val="004E543F"/>
    <w:rsid w:val="0051202B"/>
    <w:rsid w:val="00550C9E"/>
    <w:rsid w:val="00562108"/>
    <w:rsid w:val="00564521"/>
    <w:rsid w:val="00571C66"/>
    <w:rsid w:val="005A1ECA"/>
    <w:rsid w:val="005A27D5"/>
    <w:rsid w:val="005A5436"/>
    <w:rsid w:val="005C557A"/>
    <w:rsid w:val="00607BA0"/>
    <w:rsid w:val="00613E9D"/>
    <w:rsid w:val="00643DC8"/>
    <w:rsid w:val="00655A04"/>
    <w:rsid w:val="0066262E"/>
    <w:rsid w:val="00677470"/>
    <w:rsid w:val="006873E5"/>
    <w:rsid w:val="00694D41"/>
    <w:rsid w:val="00697F34"/>
    <w:rsid w:val="006A65CF"/>
    <w:rsid w:val="006D33B2"/>
    <w:rsid w:val="006F3C44"/>
    <w:rsid w:val="00700C5A"/>
    <w:rsid w:val="00761FFE"/>
    <w:rsid w:val="00763C78"/>
    <w:rsid w:val="00765892"/>
    <w:rsid w:val="00767DE0"/>
    <w:rsid w:val="0079214E"/>
    <w:rsid w:val="007A53F6"/>
    <w:rsid w:val="007B08B4"/>
    <w:rsid w:val="007F2C4C"/>
    <w:rsid w:val="007F5241"/>
    <w:rsid w:val="008067D4"/>
    <w:rsid w:val="00822055"/>
    <w:rsid w:val="008A0DD1"/>
    <w:rsid w:val="008F5C99"/>
    <w:rsid w:val="0091121D"/>
    <w:rsid w:val="00985A31"/>
    <w:rsid w:val="00994C02"/>
    <w:rsid w:val="009B30F7"/>
    <w:rsid w:val="00A13C27"/>
    <w:rsid w:val="00A21018"/>
    <w:rsid w:val="00A411EB"/>
    <w:rsid w:val="00A428FC"/>
    <w:rsid w:val="00A52881"/>
    <w:rsid w:val="00A5566A"/>
    <w:rsid w:val="00A71D2E"/>
    <w:rsid w:val="00AB2541"/>
    <w:rsid w:val="00B07FB6"/>
    <w:rsid w:val="00B52BED"/>
    <w:rsid w:val="00B70706"/>
    <w:rsid w:val="00B7621F"/>
    <w:rsid w:val="00B87697"/>
    <w:rsid w:val="00BC3BE4"/>
    <w:rsid w:val="00BD3BF3"/>
    <w:rsid w:val="00BE03C7"/>
    <w:rsid w:val="00BE3322"/>
    <w:rsid w:val="00C149B9"/>
    <w:rsid w:val="00C356AE"/>
    <w:rsid w:val="00C37586"/>
    <w:rsid w:val="00C63EE0"/>
    <w:rsid w:val="00C64F45"/>
    <w:rsid w:val="00C73CCF"/>
    <w:rsid w:val="00C76A85"/>
    <w:rsid w:val="00C92C59"/>
    <w:rsid w:val="00CA58FE"/>
    <w:rsid w:val="00CB4534"/>
    <w:rsid w:val="00CC3381"/>
    <w:rsid w:val="00CC4F24"/>
    <w:rsid w:val="00CC72B0"/>
    <w:rsid w:val="00CE6E81"/>
    <w:rsid w:val="00D073B8"/>
    <w:rsid w:val="00D2452C"/>
    <w:rsid w:val="00D340DE"/>
    <w:rsid w:val="00D41631"/>
    <w:rsid w:val="00D566C1"/>
    <w:rsid w:val="00D56B0F"/>
    <w:rsid w:val="00D57EDA"/>
    <w:rsid w:val="00D90E44"/>
    <w:rsid w:val="00DA29AA"/>
    <w:rsid w:val="00DA4AC2"/>
    <w:rsid w:val="00DA6350"/>
    <w:rsid w:val="00DC09E1"/>
    <w:rsid w:val="00DD27FF"/>
    <w:rsid w:val="00DF6CA6"/>
    <w:rsid w:val="00E16B22"/>
    <w:rsid w:val="00E7165C"/>
    <w:rsid w:val="00E843BB"/>
    <w:rsid w:val="00EB4B53"/>
    <w:rsid w:val="00ED3D36"/>
    <w:rsid w:val="00EE59AC"/>
    <w:rsid w:val="00F53922"/>
    <w:rsid w:val="00F563CA"/>
    <w:rsid w:val="00F660D7"/>
    <w:rsid w:val="00F72FF7"/>
    <w:rsid w:val="00F7450D"/>
    <w:rsid w:val="00FC6469"/>
    <w:rsid w:val="00FD065F"/>
    <w:rsid w:val="00FD5FD1"/>
    <w:rsid w:val="00FE7781"/>
    <w:rsid w:val="00FF1974"/>
    <w:rsid w:val="00FF69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6D4B633"/>
  <w15:docId w15:val="{E5CD5E6D-966B-4B70-93CC-2BF513E9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E16"/>
    <w:rPr>
      <w:rFonts w:ascii="Times New Roman" w:eastAsia="Times New Roman" w:hAnsi="Times New Roman" w:cs="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4DEE"/>
    <w:rPr>
      <w:rFonts w:ascii="Lucida Grande" w:eastAsiaTheme="minorEastAsia" w:hAnsi="Lucida Grande" w:cstheme="minorBidi"/>
      <w:sz w:val="18"/>
      <w:szCs w:val="18"/>
      <w:lang w:eastAsia="ja-JP"/>
    </w:rPr>
  </w:style>
  <w:style w:type="character" w:styleId="PageNumber">
    <w:name w:val="page number"/>
    <w:basedOn w:val="DefaultParagraphFont"/>
    <w:rsid w:val="00336E16"/>
  </w:style>
  <w:style w:type="paragraph" w:styleId="Footer">
    <w:name w:val="footer"/>
    <w:basedOn w:val="Normal"/>
    <w:link w:val="FooterChar"/>
    <w:rsid w:val="00336E16"/>
    <w:pPr>
      <w:tabs>
        <w:tab w:val="right" w:pos="9360"/>
      </w:tabs>
    </w:pPr>
    <w:rPr>
      <w:i/>
      <w:sz w:val="20"/>
      <w:szCs w:val="20"/>
    </w:rPr>
  </w:style>
  <w:style w:type="character" w:customStyle="1" w:styleId="FooterChar">
    <w:name w:val="Footer Char"/>
    <w:basedOn w:val="DefaultParagraphFont"/>
    <w:link w:val="Footer"/>
    <w:rsid w:val="00336E16"/>
    <w:rPr>
      <w:rFonts w:ascii="Times New Roman" w:eastAsia="Times New Roman" w:hAnsi="Times New Roman" w:cs="Times New Roman"/>
      <w:i/>
      <w:lang w:eastAsia="en-US"/>
    </w:rPr>
  </w:style>
  <w:style w:type="paragraph" w:styleId="NoSpacing">
    <w:name w:val="No Spacing"/>
    <w:uiPriority w:val="1"/>
    <w:qFormat/>
    <w:rsid w:val="00336E16"/>
    <w:rPr>
      <w:rFonts w:eastAsiaTheme="minorHAnsi"/>
      <w:sz w:val="22"/>
      <w:szCs w:val="22"/>
      <w:lang w:eastAsia="en-US"/>
    </w:rPr>
  </w:style>
  <w:style w:type="paragraph" w:styleId="Header">
    <w:name w:val="header"/>
    <w:basedOn w:val="Normal"/>
    <w:link w:val="HeaderChar"/>
    <w:uiPriority w:val="99"/>
    <w:unhideWhenUsed/>
    <w:rsid w:val="00336E16"/>
    <w:pPr>
      <w:tabs>
        <w:tab w:val="center" w:pos="4320"/>
        <w:tab w:val="right" w:pos="8640"/>
      </w:tabs>
    </w:pPr>
  </w:style>
  <w:style w:type="character" w:customStyle="1" w:styleId="HeaderChar">
    <w:name w:val="Header Char"/>
    <w:basedOn w:val="DefaultParagraphFont"/>
    <w:link w:val="Header"/>
    <w:uiPriority w:val="99"/>
    <w:rsid w:val="00336E16"/>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E843BB"/>
    <w:rPr>
      <w:sz w:val="16"/>
      <w:szCs w:val="16"/>
    </w:rPr>
  </w:style>
  <w:style w:type="paragraph" w:styleId="CommentText">
    <w:name w:val="annotation text"/>
    <w:basedOn w:val="Normal"/>
    <w:link w:val="CommentTextChar"/>
    <w:uiPriority w:val="99"/>
    <w:semiHidden/>
    <w:unhideWhenUsed/>
    <w:rsid w:val="00E843BB"/>
    <w:rPr>
      <w:sz w:val="20"/>
      <w:szCs w:val="20"/>
    </w:rPr>
  </w:style>
  <w:style w:type="character" w:customStyle="1" w:styleId="CommentTextChar">
    <w:name w:val="Comment Text Char"/>
    <w:basedOn w:val="DefaultParagraphFont"/>
    <w:link w:val="CommentText"/>
    <w:uiPriority w:val="99"/>
    <w:semiHidden/>
    <w:rsid w:val="00E843BB"/>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E843BB"/>
    <w:rPr>
      <w:b/>
      <w:bCs/>
    </w:rPr>
  </w:style>
  <w:style w:type="character" w:customStyle="1" w:styleId="CommentSubjectChar">
    <w:name w:val="Comment Subject Char"/>
    <w:basedOn w:val="CommentTextChar"/>
    <w:link w:val="CommentSubject"/>
    <w:uiPriority w:val="99"/>
    <w:semiHidden/>
    <w:rsid w:val="00E843BB"/>
    <w:rPr>
      <w:rFonts w:ascii="Times New Roman" w:eastAsia="Times New Roman" w:hAnsi="Times New Roman" w:cs="Times New Roman"/>
      <w:b/>
      <w:bCs/>
      <w:lang w:eastAsia="en-US"/>
    </w:rPr>
  </w:style>
  <w:style w:type="paragraph" w:styleId="NormalWeb">
    <w:name w:val="Normal (Web)"/>
    <w:basedOn w:val="Normal"/>
    <w:uiPriority w:val="99"/>
    <w:semiHidden/>
    <w:unhideWhenUsed/>
    <w:rsid w:val="00410608"/>
    <w:pPr>
      <w:spacing w:before="100" w:beforeAutospacing="1" w:after="100" w:afterAutospacing="1"/>
    </w:pPr>
  </w:style>
  <w:style w:type="table" w:styleId="TableGrid">
    <w:name w:val="Table Grid"/>
    <w:basedOn w:val="TableNormal"/>
    <w:uiPriority w:val="39"/>
    <w:rsid w:val="00410608"/>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202B"/>
    <w:rPr>
      <w:color w:val="0000FF" w:themeColor="hyperlink"/>
      <w:u w:val="single"/>
    </w:rPr>
  </w:style>
  <w:style w:type="character" w:styleId="UnresolvedMention">
    <w:name w:val="Unresolved Mention"/>
    <w:basedOn w:val="DefaultParagraphFont"/>
    <w:uiPriority w:val="99"/>
    <w:semiHidden/>
    <w:unhideWhenUsed/>
    <w:rsid w:val="002725FE"/>
    <w:rPr>
      <w:color w:val="605E5C"/>
      <w:shd w:val="clear" w:color="auto" w:fill="E1DFDD"/>
    </w:rPr>
  </w:style>
  <w:style w:type="table" w:customStyle="1" w:styleId="TableGrid1">
    <w:name w:val="Table Grid1"/>
    <w:basedOn w:val="TableNormal"/>
    <w:next w:val="TableGrid"/>
    <w:uiPriority w:val="39"/>
    <w:rsid w:val="00F72FF7"/>
    <w:pPr>
      <w:ind w:firstLine="0"/>
      <w:jc w:val="left"/>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9197C"/>
    <w:pPr>
      <w:ind w:firstLine="0"/>
      <w:jc w:val="left"/>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71631">
      <w:bodyDiv w:val="1"/>
      <w:marLeft w:val="0"/>
      <w:marRight w:val="0"/>
      <w:marTop w:val="0"/>
      <w:marBottom w:val="0"/>
      <w:divBdr>
        <w:top w:val="none" w:sz="0" w:space="0" w:color="auto"/>
        <w:left w:val="none" w:sz="0" w:space="0" w:color="auto"/>
        <w:bottom w:val="none" w:sz="0" w:space="0" w:color="auto"/>
        <w:right w:val="none" w:sz="0" w:space="0" w:color="auto"/>
      </w:divBdr>
      <w:divsChild>
        <w:div w:id="785195203">
          <w:marLeft w:val="0"/>
          <w:marRight w:val="0"/>
          <w:marTop w:val="0"/>
          <w:marBottom w:val="0"/>
          <w:divBdr>
            <w:top w:val="none" w:sz="0" w:space="0" w:color="auto"/>
            <w:left w:val="none" w:sz="0" w:space="0" w:color="auto"/>
            <w:bottom w:val="none" w:sz="0" w:space="0" w:color="auto"/>
            <w:right w:val="none" w:sz="0" w:space="0" w:color="auto"/>
          </w:divBdr>
        </w:div>
        <w:div w:id="1684671139">
          <w:marLeft w:val="0"/>
          <w:marRight w:val="0"/>
          <w:marTop w:val="0"/>
          <w:marBottom w:val="0"/>
          <w:divBdr>
            <w:top w:val="none" w:sz="0" w:space="0" w:color="auto"/>
            <w:left w:val="none" w:sz="0" w:space="0" w:color="auto"/>
            <w:bottom w:val="none" w:sz="0" w:space="0" w:color="auto"/>
            <w:right w:val="none" w:sz="0" w:space="0" w:color="auto"/>
          </w:divBdr>
        </w:div>
        <w:div w:id="5085239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tech.org/resource/the-state-of-career-technical-education-increasing-access-to-industry-experts-in-high-schools/"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tsa.ed.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es.ed.gov/pubs2018/2018028.pdf"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doi.org/10.3102/0013189X2110608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62/EDFP_a_00052" TargetMode="External"/><Relationship Id="rId14" Type="http://schemas.openxmlformats.org/officeDocument/2006/relationships/image" Target="media/image2.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4BC6263ED3E74D818F35A6239D5127" ma:contentTypeVersion="15" ma:contentTypeDescription="Create a new document." ma:contentTypeScope="" ma:versionID="43d6c5c92fe54efef2a7d3fb372ad8ad">
  <xsd:schema xmlns:xsd="http://www.w3.org/2001/XMLSchema" xmlns:xs="http://www.w3.org/2001/XMLSchema" xmlns:p="http://schemas.microsoft.com/office/2006/metadata/properties" xmlns:ns2="5b79a54f-c822-4e11-a773-7a625aab4228" xmlns:ns3="f88b27ab-e963-4b35-be9c-92bd108b1ab0" targetNamespace="http://schemas.microsoft.com/office/2006/metadata/properties" ma:root="true" ma:fieldsID="09388843cede936236c105701b7c9963" ns2:_="" ns3:_="">
    <xsd:import namespace="5b79a54f-c822-4e11-a773-7a625aab4228"/>
    <xsd:import namespace="f88b27ab-e963-4b35-be9c-92bd108b1a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9a54f-c822-4e11-a773-7a625aab4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8b27ab-e963-4b35-be9c-92bd108b1a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d6c6b8c-8da3-42a4-a238-0bcd6093303e}" ma:internalName="TaxCatchAll" ma:showField="CatchAllData" ma:web="f88b27ab-e963-4b35-be9c-92bd108b1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88b27ab-e963-4b35-be9c-92bd108b1ab0" xsi:nil="true"/>
    <lcf76f155ced4ddcb4097134ff3c332f xmlns="5b79a54f-c822-4e11-a773-7a625aab42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0785B7-D94C-434C-8425-EEE1F7E2D506}">
  <ds:schemaRefs>
    <ds:schemaRef ds:uri="http://schemas.openxmlformats.org/officeDocument/2006/bibliography"/>
  </ds:schemaRefs>
</ds:datastoreItem>
</file>

<file path=customXml/itemProps2.xml><?xml version="1.0" encoding="utf-8"?>
<ds:datastoreItem xmlns:ds="http://schemas.openxmlformats.org/officeDocument/2006/customXml" ds:itemID="{3F407A4C-833D-476F-A613-61B61BE40E2F}"/>
</file>

<file path=customXml/itemProps3.xml><?xml version="1.0" encoding="utf-8"?>
<ds:datastoreItem xmlns:ds="http://schemas.openxmlformats.org/officeDocument/2006/customXml" ds:itemID="{DE7FEA54-DCBF-4D84-9C4D-AD15193B8571}"/>
</file>

<file path=customXml/itemProps4.xml><?xml version="1.0" encoding="utf-8"?>
<ds:datastoreItem xmlns:ds="http://schemas.openxmlformats.org/officeDocument/2006/customXml" ds:itemID="{A2D188F6-5E77-4913-A701-FDCE3B18A362}"/>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314</TotalTime>
  <Pages>14</Pages>
  <Words>4383</Words>
  <Characters>25510</Characters>
  <Application>Microsoft Office Word</Application>
  <DocSecurity>0</DocSecurity>
  <Lines>542</Lines>
  <Paragraphs>243</Paragraphs>
  <ScaleCrop>false</ScaleCrop>
  <HeadingPairs>
    <vt:vector size="2" baseType="variant">
      <vt:variant>
        <vt:lpstr>Title</vt:lpstr>
      </vt:variant>
      <vt:variant>
        <vt:i4>1</vt:i4>
      </vt:variant>
    </vt:vector>
  </HeadingPairs>
  <TitlesOfParts>
    <vt:vector size="1" baseType="lpstr">
      <vt:lpstr/>
    </vt:vector>
  </TitlesOfParts>
  <Company>FSU COE STE</Company>
  <LinksUpToDate>false</LinksUpToDate>
  <CharactersWithSpaces>29650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Sampson</dc:creator>
  <cp:lastModifiedBy>Kevin Ganus</cp:lastModifiedBy>
  <cp:revision>115</cp:revision>
  <dcterms:created xsi:type="dcterms:W3CDTF">2026-01-15T14:41:00Z</dcterms:created>
  <dcterms:modified xsi:type="dcterms:W3CDTF">2026-01-17T03:59:00Z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0x0101003B4BC6263ED3E74D818F35A6239D5127</vt:lpwstr>
  </property>
  <property fmtid="{D5CDD505-2E9C-101B-9397-08002B2CF9AE}" pid="3" name="MediaServiceImageTags">
    <vt:lpwstr/>
  </property>
  <property fmtid="{D5CDD505-2E9C-101B-9397-08002B2CF9AE}" pid="5" name="docLang">
    <vt:lpwstr>en</vt:lpwstr>
  </property>
</Properties>
</file>